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附件</w:t>
      </w:r>
      <w:r>
        <w:rPr>
          <w:rFonts w:hint="eastAsia"/>
          <w:lang w:val="en-US" w:eastAsia="zh-CN"/>
        </w:rPr>
        <w:t>2</w:t>
      </w:r>
      <w:r>
        <w:rPr>
          <w:rFonts w:hint="eastAsia"/>
        </w:rPr>
        <w:t xml:space="preserve">       </w:t>
      </w:r>
      <w:r>
        <w:rPr>
          <w:rFonts w:hint="eastAsia"/>
          <w:lang w:val="en-US" w:eastAsia="zh-CN"/>
        </w:rPr>
        <w:t xml:space="preserve">    </w:t>
      </w:r>
      <w:r>
        <w:rPr>
          <w:rFonts w:hint="eastAsia"/>
        </w:rPr>
        <w:t xml:space="preserve"> </w:t>
      </w:r>
      <w:r>
        <w:rPr>
          <w:rFonts w:hint="eastAsia" w:eastAsia="方正小标宋简体"/>
          <w:bCs/>
          <w:sz w:val="28"/>
          <w:szCs w:val="28"/>
        </w:rPr>
        <w:t>大学生</w:t>
      </w:r>
      <w:r>
        <w:rPr>
          <w:rFonts w:eastAsia="方正小标宋简体"/>
          <w:bCs/>
          <w:sz w:val="28"/>
          <w:szCs w:val="28"/>
        </w:rPr>
        <w:t>创新</w:t>
      </w:r>
      <w:r>
        <w:rPr>
          <w:rFonts w:hint="eastAsia" w:eastAsia="方正小标宋简体"/>
          <w:bCs/>
          <w:sz w:val="28"/>
          <w:szCs w:val="28"/>
        </w:rPr>
        <w:t>创业</w:t>
      </w:r>
      <w:r>
        <w:rPr>
          <w:rFonts w:eastAsia="方正小标宋简体"/>
          <w:bCs/>
          <w:sz w:val="28"/>
          <w:szCs w:val="28"/>
        </w:rPr>
        <w:t>训练计划学术论文格式要求</w:t>
      </w:r>
      <w:r>
        <w:rPr>
          <w:rFonts w:hint="eastAsia" w:eastAsia="方正小标宋简体"/>
          <w:bCs/>
          <w:sz w:val="28"/>
          <w:szCs w:val="28"/>
          <w:lang w:eastAsia="zh-CN"/>
        </w:rPr>
        <w:t>（英文</w:t>
      </w:r>
      <w:bookmarkStart w:id="0" w:name="_GoBack"/>
      <w:bookmarkEnd w:id="0"/>
      <w:r>
        <w:rPr>
          <w:rFonts w:hint="eastAsia" w:eastAsia="方正小标宋简体"/>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Times New Roman" w:hAnsi="Times New Roman" w:eastAsia="黑体"/>
          <w:b/>
          <w:bCs/>
          <w:sz w:val="28"/>
          <w:szCs w:val="28"/>
        </w:rPr>
      </w:pPr>
      <w:r>
        <w:rPr>
          <w:rFonts w:ascii="Times New Roman" w:hAnsi="Times New Roman" w:eastAsia="黑体"/>
          <w:b/>
          <w:bCs/>
          <w:sz w:val="28"/>
          <w:szCs w:val="28"/>
        </w:rPr>
        <w:t>题名</w:t>
      </w:r>
      <w:r>
        <w:rPr>
          <w:rFonts w:hint="eastAsia" w:ascii="Times New Roman" w:hAnsi="Times New Roman" w:eastAsia="黑体"/>
          <w:b/>
          <w:bCs/>
          <w:sz w:val="28"/>
          <w:szCs w:val="28"/>
          <w:lang w:eastAsia="zh-CN"/>
        </w:rPr>
        <w:t>（英文）</w:t>
      </w:r>
      <w:r>
        <w:rPr>
          <w:rFonts w:ascii="Times New Roman" w:hAnsi="Times New Roman" w:eastAsia="黑体"/>
          <w:b/>
          <w:bCs/>
          <w:sz w:val="28"/>
          <w:szCs w:val="28"/>
        </w:rPr>
        <w:t>（</w:t>
      </w:r>
      <w:r>
        <w:rPr>
          <w:rFonts w:hint="eastAsia" w:ascii="Times New Roman" w:hAnsi="Times New Roman" w:eastAsia="黑体"/>
          <w:b/>
          <w:bCs/>
          <w:sz w:val="28"/>
          <w:szCs w:val="28"/>
          <w:lang w:eastAsia="zh-CN"/>
        </w:rPr>
        <w:t>黑体</w:t>
      </w:r>
      <w:r>
        <w:rPr>
          <w:rFonts w:hint="eastAsia" w:ascii="Times New Roman" w:hAnsi="Times New Roman" w:eastAsia="黑体"/>
          <w:b/>
          <w:bCs/>
          <w:sz w:val="28"/>
          <w:szCs w:val="28"/>
          <w:lang w:val="en-US" w:eastAsia="zh-CN"/>
        </w:rPr>
        <w:t>Times New Roman</w:t>
      </w:r>
      <w:r>
        <w:rPr>
          <w:rFonts w:ascii="Times New Roman" w:hAnsi="Times New Roman" w:eastAsia="黑体"/>
          <w:b/>
          <w:bCs/>
          <w:sz w:val="28"/>
          <w:szCs w:val="28"/>
        </w:rPr>
        <w:t>，</w:t>
      </w:r>
      <w:r>
        <w:rPr>
          <w:rFonts w:hint="eastAsia" w:ascii="Times New Roman" w:hAnsi="Times New Roman" w:eastAsia="黑体"/>
          <w:b/>
          <w:bCs/>
          <w:sz w:val="28"/>
          <w:szCs w:val="28"/>
          <w:lang w:eastAsia="zh-CN"/>
        </w:rPr>
        <w:t>四</w:t>
      </w:r>
      <w:r>
        <w:rPr>
          <w:rFonts w:ascii="Times New Roman" w:hAnsi="Times New Roman" w:eastAsia="黑体"/>
          <w:b/>
          <w:bCs/>
          <w:sz w:val="28"/>
          <w:szCs w:val="28"/>
        </w:rPr>
        <w:t>号</w:t>
      </w:r>
      <w:r>
        <w:rPr>
          <w:rFonts w:hint="eastAsia" w:ascii="Times New Roman" w:hAnsi="Times New Roman" w:eastAsia="黑体"/>
          <w:b/>
          <w:bCs/>
          <w:sz w:val="28"/>
          <w:szCs w:val="28"/>
          <w:lang w:eastAsia="zh-CN"/>
        </w:rPr>
        <w:t>，加粗，</w:t>
      </w:r>
      <w:r>
        <w:rPr>
          <w:rFonts w:ascii="Times New Roman" w:hAnsi="Times New Roman" w:eastAsia="黑体"/>
          <w:b/>
          <w:bCs/>
          <w:sz w:val="28"/>
          <w:szCs w:val="28"/>
        </w:rPr>
        <w:t>居中，</w:t>
      </w:r>
      <w:r>
        <w:rPr>
          <w:rFonts w:hint="eastAsia" w:ascii="Times New Roman" w:hAnsi="Times New Roman" w:eastAsia="黑体"/>
          <w:b/>
          <w:bCs/>
          <w:sz w:val="28"/>
          <w:szCs w:val="28"/>
          <w:lang w:eastAsia="zh-CN"/>
        </w:rPr>
        <w:t>行间距</w:t>
      </w:r>
      <w:r>
        <w:rPr>
          <w:rFonts w:hint="eastAsia" w:ascii="Times New Roman" w:hAnsi="Times New Roman" w:eastAsia="黑体"/>
          <w:b/>
          <w:bCs/>
          <w:sz w:val="28"/>
          <w:szCs w:val="28"/>
          <w:lang w:val="en-US" w:eastAsia="zh-CN"/>
        </w:rPr>
        <w:t>28磅，</w:t>
      </w:r>
      <w:r>
        <w:rPr>
          <w:rFonts w:ascii="Times New Roman" w:hAnsi="Times New Roman" w:eastAsia="黑体"/>
          <w:b/>
          <w:bCs/>
          <w:sz w:val="28"/>
          <w:szCs w:val="28"/>
        </w:rPr>
        <w:t>不超20字）</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eastAsia="黑体"/>
          <w:b/>
          <w:bCs/>
          <w:sz w:val="44"/>
        </w:rPr>
      </w:pPr>
      <w:r>
        <w:rPr>
          <w:rFonts w:hint="eastAsia" w:ascii="Times New Roman" w:hAnsi="Times New Roman" w:eastAsia="黑体"/>
          <w:b/>
          <w:bCs/>
          <w:sz w:val="24"/>
          <w:szCs w:val="24"/>
          <w:lang w:eastAsia="zh-CN"/>
        </w:rPr>
        <w:t>副标题（英文）</w:t>
      </w:r>
      <w:r>
        <w:rPr>
          <w:rFonts w:ascii="Times New Roman" w:hAnsi="Times New Roman" w:eastAsia="黑体"/>
          <w:b/>
          <w:bCs/>
          <w:sz w:val="24"/>
          <w:szCs w:val="24"/>
        </w:rPr>
        <w:t>（</w:t>
      </w:r>
      <w:r>
        <w:rPr>
          <w:rFonts w:hint="eastAsia" w:ascii="Times New Roman" w:hAnsi="Times New Roman" w:eastAsia="黑体"/>
          <w:b/>
          <w:bCs/>
          <w:sz w:val="24"/>
          <w:szCs w:val="24"/>
          <w:lang w:eastAsia="zh-CN"/>
        </w:rPr>
        <w:t>黑体</w:t>
      </w:r>
      <w:r>
        <w:rPr>
          <w:rFonts w:hint="eastAsia" w:ascii="Times New Roman" w:hAnsi="Times New Roman" w:eastAsia="黑体"/>
          <w:b/>
          <w:bCs/>
          <w:sz w:val="24"/>
          <w:szCs w:val="24"/>
          <w:lang w:val="en-US" w:eastAsia="zh-CN"/>
        </w:rPr>
        <w:t>Times New Roman</w:t>
      </w:r>
      <w:r>
        <w:rPr>
          <w:rFonts w:ascii="Times New Roman" w:hAnsi="Times New Roman" w:eastAsia="黑体"/>
          <w:b/>
          <w:bCs/>
          <w:sz w:val="24"/>
          <w:szCs w:val="24"/>
        </w:rPr>
        <w:t>，</w:t>
      </w:r>
      <w:r>
        <w:rPr>
          <w:rFonts w:hint="eastAsia" w:ascii="Times New Roman" w:hAnsi="Times New Roman" w:eastAsia="黑体"/>
          <w:b/>
          <w:bCs/>
          <w:sz w:val="24"/>
          <w:szCs w:val="24"/>
          <w:lang w:eastAsia="zh-CN"/>
        </w:rPr>
        <w:t>小四，加粗，</w:t>
      </w:r>
      <w:r>
        <w:rPr>
          <w:rFonts w:ascii="Times New Roman" w:hAnsi="Times New Roman" w:eastAsia="黑体"/>
          <w:b/>
          <w:bCs/>
          <w:sz w:val="24"/>
          <w:szCs w:val="24"/>
        </w:rPr>
        <w:t>居中，</w:t>
      </w:r>
      <w:r>
        <w:rPr>
          <w:rFonts w:hint="eastAsia" w:ascii="Times New Roman" w:hAnsi="Times New Roman" w:eastAsia="黑体"/>
          <w:b/>
          <w:bCs/>
          <w:sz w:val="24"/>
          <w:szCs w:val="24"/>
          <w:lang w:eastAsia="zh-CN"/>
        </w:rPr>
        <w:t>行间距</w:t>
      </w:r>
      <w:r>
        <w:rPr>
          <w:rFonts w:hint="eastAsia" w:ascii="Times New Roman" w:hAnsi="Times New Roman" w:eastAsia="黑体"/>
          <w:b/>
          <w:bCs/>
          <w:sz w:val="24"/>
          <w:szCs w:val="24"/>
          <w:lang w:val="en-US" w:eastAsia="zh-CN"/>
        </w:rPr>
        <w:t>28磅，</w:t>
      </w:r>
      <w:r>
        <w:rPr>
          <w:rFonts w:ascii="Times New Roman" w:hAnsi="Times New Roman" w:eastAsia="黑体"/>
          <w:b/>
          <w:bCs/>
          <w:sz w:val="24"/>
          <w:szCs w:val="24"/>
        </w:rPr>
        <w:t>不超20字）</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eastAsia="楷体_GB2312"/>
          <w:sz w:val="28"/>
        </w:rPr>
      </w:pPr>
      <w:r>
        <w:rPr>
          <w:rFonts w:hint="eastAsia" w:eastAsia="楷体_GB2312"/>
          <w:sz w:val="28"/>
        </w:rPr>
        <w:t>学院</w:t>
      </w:r>
      <w:r>
        <w:rPr>
          <w:rFonts w:eastAsia="楷体_GB2312"/>
          <w:sz w:val="28"/>
        </w:rPr>
        <w:t>名称</w:t>
      </w:r>
      <w:r>
        <w:rPr>
          <w:rFonts w:hint="eastAsia" w:eastAsia="楷体_GB2312"/>
          <w:sz w:val="28"/>
          <w:lang w:eastAsia="zh-CN"/>
        </w:rPr>
        <w:t>（中文）</w:t>
      </w:r>
      <w:r>
        <w:rPr>
          <w:rFonts w:eastAsia="楷体_GB2312"/>
          <w:sz w:val="28"/>
        </w:rPr>
        <w:t xml:space="preserve">  第一作者</w:t>
      </w:r>
      <w:r>
        <w:rPr>
          <w:rFonts w:hint="eastAsia" w:eastAsia="楷体_GB2312"/>
          <w:sz w:val="28"/>
        </w:rPr>
        <w:t>、</w:t>
      </w:r>
      <w:r>
        <w:rPr>
          <w:rFonts w:eastAsia="楷体_GB2312"/>
          <w:sz w:val="28"/>
        </w:rPr>
        <w:t>第二作者</w:t>
      </w:r>
      <w:r>
        <w:rPr>
          <w:rFonts w:hint="eastAsia" w:eastAsia="楷体_GB2312"/>
          <w:sz w:val="28"/>
          <w:lang w:eastAsia="zh-CN"/>
        </w:rPr>
        <w:t>（中文）</w:t>
      </w:r>
      <w:r>
        <w:rPr>
          <w:rFonts w:eastAsia="楷体_GB2312"/>
          <w:sz w:val="28"/>
        </w:rPr>
        <w:t>……（四号楷体-GB2312，</w:t>
      </w:r>
      <w:r>
        <w:rPr>
          <w:rFonts w:hint="eastAsia" w:eastAsia="楷体_GB2312"/>
          <w:sz w:val="28"/>
        </w:rPr>
        <w:t>Times New Roman</w:t>
      </w:r>
      <w:r>
        <w:rPr>
          <w:rFonts w:hint="eastAsia" w:eastAsia="楷体_GB2312"/>
          <w:sz w:val="28"/>
          <w:lang w:eastAsia="zh-CN"/>
        </w:rPr>
        <w:t>，</w:t>
      </w:r>
      <w:r>
        <w:rPr>
          <w:rFonts w:eastAsia="楷体_GB2312"/>
          <w:sz w:val="28"/>
        </w:rPr>
        <w:t>居中</w:t>
      </w:r>
      <w:r>
        <w:rPr>
          <w:rFonts w:hint="eastAsia" w:eastAsia="楷体_GB2312"/>
          <w:sz w:val="28"/>
          <w:lang w:eastAsia="zh-CN"/>
        </w:rPr>
        <w:t>，行间距</w:t>
      </w:r>
      <w:r>
        <w:rPr>
          <w:rFonts w:hint="eastAsia" w:eastAsia="楷体_GB2312"/>
          <w:sz w:val="28"/>
          <w:lang w:val="en-US" w:eastAsia="zh-CN"/>
        </w:rPr>
        <w:t>1倍</w:t>
      </w:r>
      <w:r>
        <w:rPr>
          <w:rFonts w:eastAsia="楷体_GB2312"/>
          <w:sz w:val="28"/>
        </w:rPr>
        <w:t>）</w:t>
      </w:r>
    </w:p>
    <w:p>
      <w:pPr>
        <w:spacing w:line="560" w:lineRule="exact"/>
        <w:jc w:val="center"/>
      </w:pPr>
      <w:r>
        <w:rPr>
          <w:rFonts w:eastAsia="楷体_GB2312"/>
          <w:szCs w:val="21"/>
        </w:rPr>
        <w:t>（</w:t>
      </w:r>
      <w:r>
        <w:rPr>
          <w:rStyle w:val="5"/>
          <w:rFonts w:eastAsia="楷体_GB2312"/>
          <w:szCs w:val="21"/>
        </w:rPr>
        <w:footnoteReference w:id="0" w:customMarkFollows="1"/>
        <w:t xml:space="preserve"> </w:t>
      </w:r>
      <w:r>
        <w:rPr>
          <w:rFonts w:eastAsia="楷体_GB2312"/>
          <w:szCs w:val="21"/>
        </w:rPr>
        <w:t>此处插入作者简介脚注，符号定义为空白</w:t>
      </w:r>
      <w:r>
        <w:rPr>
          <w:rFonts w:hint="eastAsia" w:eastAsia="楷体_GB2312"/>
          <w:szCs w:val="21"/>
          <w:lang w:eastAsia="zh-CN"/>
        </w:rPr>
        <w:t>，使用中文输入</w:t>
      </w:r>
      <w:r>
        <w:rPr>
          <w:rFonts w:eastAsia="楷体_GB2312"/>
          <w:szCs w:val="21"/>
        </w:rPr>
        <w:t>）</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eastAsia="仿宋"/>
        </w:rPr>
      </w:pPr>
      <w:r>
        <w:rPr>
          <w:rFonts w:ascii="Times New Roman" w:hAnsi="Times New Roman" w:eastAsia="仿宋"/>
        </w:rPr>
        <w:t>（若为已在正式出版物上发表</w:t>
      </w:r>
      <w:r>
        <w:rPr>
          <w:rFonts w:hint="eastAsia" w:ascii="Times New Roman" w:hAnsi="Times New Roman" w:eastAsia="仿宋"/>
        </w:rPr>
        <w:t>或者</w:t>
      </w:r>
      <w:r>
        <w:rPr>
          <w:rFonts w:ascii="Times New Roman" w:hAnsi="Times New Roman" w:eastAsia="仿宋"/>
        </w:rPr>
        <w:t>已经被会议、期刊录用的，</w:t>
      </w:r>
      <w:r>
        <w:rPr>
          <w:rFonts w:hint="eastAsia" w:ascii="Times New Roman" w:hAnsi="Times New Roman" w:eastAsia="仿宋"/>
        </w:rPr>
        <w:t>请</w:t>
      </w:r>
      <w:r>
        <w:rPr>
          <w:rFonts w:ascii="Times New Roman" w:hAnsi="Times New Roman" w:eastAsia="仿宋"/>
        </w:rPr>
        <w:t>标注请在此处注明出版物名称及</w:t>
      </w:r>
      <w:r>
        <w:rPr>
          <w:rFonts w:hint="eastAsia" w:ascii="Times New Roman" w:hAnsi="Times New Roman" w:eastAsia="仿宋"/>
        </w:rPr>
        <w:t>录用</w:t>
      </w:r>
      <w:r>
        <w:rPr>
          <w:rFonts w:ascii="Times New Roman" w:hAnsi="Times New Roman" w:eastAsia="仿宋"/>
        </w:rPr>
        <w:t>或者发表时间</w:t>
      </w:r>
      <w:r>
        <w:rPr>
          <w:rFonts w:hint="eastAsia" w:ascii="Times New Roman" w:hAnsi="Times New Roman" w:eastAsia="仿宋"/>
          <w:lang w:eastAsia="zh-CN"/>
        </w:rPr>
        <w:t>，注明刊物级别（中文</w:t>
      </w:r>
      <w:r>
        <w:rPr>
          <w:rFonts w:ascii="Times New Roman" w:hAnsi="Times New Roman" w:eastAsia="仿宋"/>
        </w:rPr>
        <w:t>宋体5号居中</w:t>
      </w:r>
      <w:r>
        <w:rPr>
          <w:rFonts w:hint="eastAsia" w:ascii="Times New Roman" w:hAnsi="Times New Roman" w:eastAsia="仿宋"/>
          <w:lang w:eastAsia="zh-CN"/>
        </w:rPr>
        <w:t>单倍行距）</w:t>
      </w:r>
      <w:r>
        <w:rPr>
          <w:rFonts w:eastAsia="仿宋"/>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2" w:firstLineChars="200"/>
        <w:jc w:val="both"/>
        <w:textAlignment w:val="auto"/>
        <w:outlineLvl w:val="9"/>
        <w:rPr>
          <w:rFonts w:ascii="Times New Roman" w:hAnsi="Times New Roman" w:eastAsia="宋体"/>
          <w:sz w:val="21"/>
        </w:rPr>
      </w:pPr>
      <w:r>
        <w:rPr>
          <w:rFonts w:hint="eastAsia" w:ascii="Times New Roman" w:hAnsi="Times New Roman" w:eastAsia="宋体"/>
          <w:b/>
          <w:sz w:val="24"/>
          <w:lang w:val="en-US" w:eastAsia="zh-CN"/>
        </w:rPr>
        <w:t>Abstract</w:t>
      </w:r>
      <w:r>
        <w:rPr>
          <w:rFonts w:ascii="Times New Roman" w:hAnsi="Times New Roman" w:eastAsia="宋体"/>
          <w:b/>
          <w:sz w:val="24"/>
        </w:rPr>
        <w:t>：（</w:t>
      </w:r>
      <w:r>
        <w:rPr>
          <w:rFonts w:hint="eastAsia" w:ascii="Times New Roman" w:hAnsi="Times New Roman" w:eastAsia="宋体"/>
          <w:b/>
          <w:sz w:val="24"/>
        </w:rPr>
        <w:t>Times New Roman</w:t>
      </w:r>
      <w:r>
        <w:rPr>
          <w:rFonts w:ascii="Times New Roman" w:hAnsi="Times New Roman" w:eastAsia="宋体"/>
          <w:b/>
          <w:sz w:val="24"/>
        </w:rPr>
        <w:t>，</w:t>
      </w:r>
      <w:r>
        <w:rPr>
          <w:rFonts w:hint="eastAsia" w:ascii="Times New Roman" w:hAnsi="Times New Roman" w:eastAsia="宋体"/>
          <w:b/>
          <w:sz w:val="24"/>
          <w:lang w:eastAsia="zh-CN"/>
        </w:rPr>
        <w:t>小四，</w:t>
      </w:r>
      <w:r>
        <w:rPr>
          <w:rFonts w:ascii="Times New Roman" w:hAnsi="Times New Roman" w:eastAsia="宋体"/>
          <w:b/>
          <w:sz w:val="24"/>
        </w:rPr>
        <w:t>加粗</w:t>
      </w:r>
      <w:r>
        <w:rPr>
          <w:rFonts w:hint="eastAsia" w:ascii="Times New Roman" w:hAnsi="Times New Roman" w:eastAsia="宋体"/>
          <w:b/>
          <w:sz w:val="24"/>
          <w:lang w:eastAsia="zh-CN"/>
        </w:rPr>
        <w:t>，</w:t>
      </w:r>
      <w:r>
        <w:rPr>
          <w:rFonts w:hint="eastAsia" w:ascii="Times New Roman" w:hAnsi="Times New Roman" w:eastAsia="宋体"/>
          <w:b/>
          <w:sz w:val="24"/>
        </w:rPr>
        <w:t>行间距</w:t>
      </w:r>
      <w:r>
        <w:rPr>
          <w:rFonts w:hint="eastAsia" w:ascii="Times New Roman" w:hAnsi="Times New Roman" w:eastAsia="宋体"/>
          <w:b/>
          <w:sz w:val="24"/>
          <w:lang w:val="en-US" w:eastAsia="zh-CN"/>
        </w:rPr>
        <w:t>1</w:t>
      </w:r>
      <w:r>
        <w:rPr>
          <w:rFonts w:hint="eastAsia" w:ascii="Times New Roman" w:hAnsi="Times New Roman" w:eastAsia="宋体"/>
          <w:b/>
          <w:sz w:val="24"/>
        </w:rPr>
        <w:t>6磅</w:t>
      </w:r>
      <w:r>
        <w:rPr>
          <w:rFonts w:ascii="Times New Roman" w:hAnsi="Times New Roman" w:eastAsia="宋体"/>
          <w:b/>
          <w:sz w:val="24"/>
        </w:rPr>
        <w:t>）：</w:t>
      </w:r>
      <w:r>
        <w:rPr>
          <w:rFonts w:hint="eastAsia" w:ascii="Times New Roman" w:hAnsi="Times New Roman" w:eastAsia="宋体"/>
          <w:b w:val="0"/>
          <w:sz w:val="21"/>
          <w:lang w:eastAsia="zh-CN"/>
        </w:rPr>
        <w:t>字数一般在300字左右。摘要必须反映全文中心内容，一般包括研究目的、方法、主要观点及结论。写作时，应简写目的，写明采用的具体方法，详细写所得到的结果和结论，要突出反映文章的创新性。要求语言简明、扼要、准确、客观、逻辑性强。总之，摘要应写得内容充实，不要过分抽象或空洞无物，避免使用“对……具有……意义，价值”等评价性用语，避免使用“本文”、“笔者”等第一人称写法。定稿时要注意纠正语病，删减啰唆重复的语句和句子。（</w:t>
      </w:r>
      <w:r>
        <w:rPr>
          <w:rFonts w:ascii="Times New Roman" w:hAnsi="Times New Roman" w:eastAsia="宋体"/>
          <w:b w:val="0"/>
          <w:sz w:val="21"/>
        </w:rPr>
        <w:t>宋体</w:t>
      </w:r>
      <w:r>
        <w:rPr>
          <w:rFonts w:hint="eastAsia" w:ascii="Times New Roman" w:hAnsi="Times New Roman" w:eastAsia="宋体"/>
          <w:b w:val="0"/>
          <w:sz w:val="21"/>
        </w:rPr>
        <w:t>Times New Roman</w:t>
      </w:r>
      <w:r>
        <w:rPr>
          <w:rFonts w:ascii="Times New Roman" w:hAnsi="Times New Roman" w:eastAsia="宋体"/>
          <w:b w:val="0"/>
          <w:sz w:val="21"/>
        </w:rPr>
        <w:t>，</w:t>
      </w:r>
      <w:r>
        <w:rPr>
          <w:rFonts w:ascii="Times New Roman" w:hAnsi="Times New Roman" w:eastAsia="宋体"/>
          <w:sz w:val="21"/>
          <w:szCs w:val="18"/>
        </w:rPr>
        <w:t>五号</w:t>
      </w:r>
      <w:r>
        <w:rPr>
          <w:rFonts w:hint="eastAsia" w:ascii="Times New Roman" w:hAnsi="Times New Roman" w:eastAsia="宋体"/>
          <w:b w:val="0"/>
          <w:sz w:val="21"/>
          <w:lang w:eastAsia="zh-CN"/>
        </w:rPr>
        <w:t>，常规，</w:t>
      </w:r>
      <w:r>
        <w:rPr>
          <w:rFonts w:ascii="Times New Roman" w:hAnsi="Times New Roman" w:eastAsia="宋体"/>
          <w:sz w:val="21"/>
          <w:szCs w:val="18"/>
        </w:rPr>
        <w:t>行间距</w:t>
      </w:r>
      <w:r>
        <w:rPr>
          <w:rFonts w:hint="eastAsia" w:ascii="Times New Roman" w:hAnsi="Times New Roman" w:eastAsia="宋体"/>
          <w:sz w:val="21"/>
          <w:szCs w:val="18"/>
        </w:rPr>
        <w:t>26磅</w:t>
      </w:r>
      <w:r>
        <w:rPr>
          <w:rFonts w:hint="eastAsia" w:ascii="Times New Roman" w:hAnsi="Times New Roman" w:eastAsia="宋体"/>
          <w:b w:val="0"/>
          <w:sz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2" w:firstLineChars="200"/>
        <w:jc w:val="both"/>
        <w:textAlignment w:val="auto"/>
        <w:outlineLvl w:val="9"/>
        <w:rPr>
          <w:rFonts w:ascii="Times New Roman" w:hAnsi="Times New Roman" w:eastAsia="宋体"/>
          <w:sz w:val="21"/>
          <w:szCs w:val="18"/>
        </w:rPr>
      </w:pPr>
      <w:r>
        <w:rPr>
          <w:rFonts w:hint="eastAsia" w:ascii="Times New Roman" w:hAnsi="Times New Roman" w:eastAsia="宋体"/>
          <w:b/>
          <w:sz w:val="24"/>
          <w:lang w:val="en-US" w:eastAsia="zh-CN"/>
        </w:rPr>
        <w:t>Key words：（Times New Roman，小四，加粗，行间距16磅）：</w:t>
      </w:r>
      <w:r>
        <w:rPr>
          <w:rFonts w:ascii="Times New Roman" w:hAnsi="Times New Roman" w:eastAsia="宋体"/>
          <w:sz w:val="21"/>
        </w:rPr>
        <w:t>词1；词2；词3（3-5个反应所研究的领域和关键特征的词，</w:t>
      </w:r>
      <w:r>
        <w:rPr>
          <w:rFonts w:ascii="Times New Roman" w:hAnsi="Times New Roman" w:eastAsia="宋体"/>
          <w:sz w:val="21"/>
          <w:szCs w:val="18"/>
        </w:rPr>
        <w:t>不超过120个实词</w:t>
      </w:r>
      <w:r>
        <w:rPr>
          <w:rFonts w:hint="eastAsia" w:ascii="Times New Roman" w:hAnsi="Times New Roman" w:eastAsia="宋体"/>
          <w:b w:val="0"/>
          <w:sz w:val="21"/>
          <w:lang w:eastAsia="zh-CN"/>
        </w:rPr>
        <w:t>（</w:t>
      </w:r>
      <w:r>
        <w:rPr>
          <w:rFonts w:ascii="Times New Roman" w:hAnsi="Times New Roman" w:eastAsia="宋体"/>
          <w:b w:val="0"/>
          <w:sz w:val="21"/>
        </w:rPr>
        <w:t>宋体</w:t>
      </w:r>
      <w:r>
        <w:rPr>
          <w:rFonts w:hint="eastAsia" w:ascii="Times New Roman" w:hAnsi="Times New Roman" w:eastAsia="宋体"/>
          <w:b w:val="0"/>
          <w:sz w:val="21"/>
        </w:rPr>
        <w:t>Times New Roman</w:t>
      </w:r>
      <w:r>
        <w:rPr>
          <w:rFonts w:ascii="Times New Roman" w:hAnsi="Times New Roman" w:eastAsia="宋体"/>
          <w:b w:val="0"/>
          <w:sz w:val="21"/>
        </w:rPr>
        <w:t>，</w:t>
      </w:r>
      <w:r>
        <w:rPr>
          <w:rFonts w:ascii="Times New Roman" w:hAnsi="Times New Roman" w:eastAsia="宋体"/>
          <w:sz w:val="21"/>
          <w:szCs w:val="18"/>
        </w:rPr>
        <w:t>五号</w:t>
      </w:r>
      <w:r>
        <w:rPr>
          <w:rFonts w:hint="eastAsia" w:ascii="Times New Roman" w:hAnsi="Times New Roman" w:eastAsia="宋体"/>
          <w:b w:val="0"/>
          <w:sz w:val="21"/>
          <w:lang w:eastAsia="zh-CN"/>
        </w:rPr>
        <w:t>，常规，</w:t>
      </w:r>
      <w:r>
        <w:rPr>
          <w:rFonts w:hint="eastAsia" w:ascii="Times New Roman" w:hAnsi="Times New Roman" w:eastAsia="宋体"/>
          <w:sz w:val="21"/>
          <w:szCs w:val="18"/>
        </w:rPr>
        <w:t>行间距26磅</w:t>
      </w:r>
      <w:r>
        <w:rPr>
          <w:rFonts w:hint="eastAsia" w:ascii="Times New Roman" w:hAnsi="Times New Roman" w:eastAsia="宋体"/>
          <w:b w:val="0"/>
          <w:sz w:val="21"/>
          <w:lang w:eastAsia="zh-CN"/>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eastAsiaTheme="minorEastAsia"/>
        </w:rPr>
      </w:pPr>
      <w:r>
        <w:rPr>
          <w:rFonts w:ascii="Times New Roman" w:hAnsi="Times New Roman" w:eastAsiaTheme="minorEastAsia"/>
        </w:rPr>
        <w:t>下接正文（引言、导论性）或一级标题（引言、导论性）。论文Word文档页面设置为A4纸型，</w:t>
      </w:r>
      <w:r>
        <w:rPr>
          <w:rFonts w:hint="eastAsia" w:ascii="Times New Roman" w:hAnsi="Times New Roman" w:eastAsiaTheme="minorEastAsia"/>
        </w:rPr>
        <w:t>左右</w:t>
      </w:r>
      <w:r>
        <w:rPr>
          <w:rFonts w:ascii="Times New Roman" w:hAnsi="Times New Roman" w:eastAsiaTheme="minorEastAsia"/>
        </w:rPr>
        <w:t>页边距各2.5</w:t>
      </w:r>
      <w:r>
        <w:rPr>
          <w:rFonts w:hint="eastAsia" w:ascii="Times New Roman" w:hAnsi="Times New Roman" w:eastAsiaTheme="minorEastAsia"/>
        </w:rPr>
        <w:t>，</w:t>
      </w:r>
      <w:r>
        <w:rPr>
          <w:rFonts w:ascii="Times New Roman" w:hAnsi="Times New Roman" w:eastAsiaTheme="minorEastAsia"/>
        </w:rPr>
        <w:t>上下各</w:t>
      </w:r>
      <w:r>
        <w:rPr>
          <w:rFonts w:hint="eastAsia" w:ascii="Times New Roman" w:hAnsi="Times New Roman" w:eastAsiaTheme="minorEastAsia"/>
        </w:rPr>
        <w:t>2</w:t>
      </w:r>
      <w:r>
        <w:rPr>
          <w:rFonts w:ascii="Times New Roman" w:hAnsi="Times New Roman" w:eastAsiaTheme="minorEastAsia"/>
        </w:rPr>
        <w:t>，正文用宋体Times New Roman</w:t>
      </w:r>
      <w:r>
        <w:rPr>
          <w:rFonts w:hint="eastAsia" w:ascii="Times New Roman" w:hAnsi="Times New Roman" w:eastAsiaTheme="minorEastAsia"/>
          <w:lang w:eastAsia="zh-CN"/>
        </w:rPr>
        <w:t>，五</w:t>
      </w:r>
      <w:r>
        <w:rPr>
          <w:rFonts w:ascii="Times New Roman" w:hAnsi="Times New Roman" w:eastAsiaTheme="minorEastAsia"/>
        </w:rPr>
        <w:t>号，</w:t>
      </w:r>
      <w:r>
        <w:rPr>
          <w:rFonts w:hint="eastAsia" w:ascii="Times New Roman" w:hAnsi="Times New Roman" w:eastAsiaTheme="minorEastAsia"/>
          <w:lang w:eastAsia="zh-CN"/>
        </w:rPr>
        <w:t>行间距</w:t>
      </w:r>
      <w:r>
        <w:rPr>
          <w:rFonts w:hint="eastAsia" w:ascii="Times New Roman" w:hAnsi="Times New Roman" w:eastAsiaTheme="minorEastAsia"/>
          <w:lang w:val="en-US" w:eastAsia="zh-CN"/>
        </w:rPr>
        <w:t>16磅</w:t>
      </w:r>
      <w:r>
        <w:rPr>
          <w:rFonts w:ascii="Times New Roman" w:hAnsi="Times New Roman" w:eastAsiaTheme="minorEastAsia"/>
        </w:rPr>
        <w:t>。</w:t>
      </w:r>
      <w:r>
        <w:rPr>
          <w:rFonts w:ascii="Times New Roman" w:hAnsi="Times New Roman" w:eastAsiaTheme="minorEastAsia"/>
          <w:szCs w:val="20"/>
        </w:rPr>
        <w:t>论文要求主题明确、数据可靠、逻辑严密、文字精炼，遵守我国著作权法，注意保守国家机密。</w:t>
      </w:r>
      <w:r>
        <w:rPr>
          <w:rFonts w:ascii="Times New Roman" w:hAnsi="Times New Roman" w:eastAsiaTheme="minorEastAsia"/>
        </w:rPr>
        <w:t>题名应恰当简明地反映文章的特定内容，要便于编制题录、索引和选定关键词，不宜使用非公知的缩略词、代号等。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sz w:val="28"/>
        </w:rPr>
      </w:pPr>
      <w:r>
        <w:rPr>
          <w:rFonts w:hint="eastAsia" w:ascii="Times New Roman" w:hAnsi="Times New Roman" w:eastAsia="黑体"/>
          <w:b w:val="0"/>
          <w:sz w:val="28"/>
          <w:lang w:eastAsia="zh-CN"/>
        </w:rPr>
        <w:t>一级</w:t>
      </w:r>
      <w:r>
        <w:rPr>
          <w:rFonts w:ascii="Times New Roman" w:hAnsi="Times New Roman" w:eastAsia="黑体"/>
          <w:b w:val="0"/>
          <w:sz w:val="28"/>
        </w:rPr>
        <w:t>标题（四号</w:t>
      </w:r>
      <w:r>
        <w:rPr>
          <w:rFonts w:hint="eastAsia" w:ascii="Times New Roman" w:hAnsi="Times New Roman" w:eastAsia="黑体"/>
          <w:b w:val="0"/>
          <w:sz w:val="28"/>
        </w:rPr>
        <w:t>Times New Roman</w:t>
      </w:r>
      <w:r>
        <w:rPr>
          <w:rFonts w:ascii="Times New Roman" w:hAnsi="Times New Roman" w:eastAsia="黑体"/>
          <w:b w:val="0"/>
          <w:sz w:val="28"/>
        </w:rPr>
        <w:t>，上下各</w:t>
      </w:r>
      <w:r>
        <w:rPr>
          <w:rFonts w:hint="eastAsia" w:ascii="Times New Roman" w:hAnsi="Times New Roman" w:eastAsia="黑体"/>
          <w:b w:val="0"/>
          <w:sz w:val="28"/>
          <w:lang w:val="en-US" w:eastAsia="zh-CN"/>
        </w:rPr>
        <w:t>0</w:t>
      </w:r>
      <w:r>
        <w:rPr>
          <w:rFonts w:ascii="Times New Roman" w:hAnsi="Times New Roman" w:eastAsia="黑体"/>
          <w:b w:val="0"/>
          <w:sz w:val="28"/>
        </w:rPr>
        <w:t>行</w:t>
      </w:r>
      <w:r>
        <w:rPr>
          <w:rFonts w:hint="eastAsia" w:ascii="Times New Roman" w:hAnsi="Times New Roman" w:eastAsia="黑体"/>
          <w:b w:val="0"/>
          <w:sz w:val="28"/>
          <w:lang w:eastAsia="zh-CN"/>
        </w:rPr>
        <w:t>，固定值</w:t>
      </w:r>
      <w:r>
        <w:rPr>
          <w:rFonts w:hint="eastAsia" w:ascii="Times New Roman" w:hAnsi="Times New Roman" w:eastAsia="黑体"/>
          <w:b w:val="0"/>
          <w:sz w:val="28"/>
          <w:lang w:val="en-US" w:eastAsia="zh-CN"/>
        </w:rPr>
        <w:t>28磅</w:t>
      </w:r>
      <w:r>
        <w:rPr>
          <w:rFonts w:ascii="Times New Roman" w:hAnsi="Times New Roman" w:eastAsia="黑体"/>
          <w:b w:val="0"/>
          <w:sz w:val="28"/>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b w:val="0"/>
          <w:sz w:val="24"/>
        </w:rPr>
      </w:pPr>
      <w:r>
        <w:rPr>
          <w:rFonts w:hint="eastAsia" w:ascii="Times New Roman" w:hAnsi="Times New Roman" w:eastAsia="黑体"/>
          <w:b w:val="0"/>
          <w:sz w:val="24"/>
          <w:lang w:eastAsia="zh-CN"/>
        </w:rPr>
        <w:t>二级</w:t>
      </w:r>
      <w:r>
        <w:rPr>
          <w:rFonts w:ascii="Times New Roman" w:hAnsi="Times New Roman" w:eastAsia="黑体"/>
          <w:b w:val="0"/>
          <w:sz w:val="24"/>
        </w:rPr>
        <w:t>标题（</w:t>
      </w:r>
      <w:r>
        <w:rPr>
          <w:rFonts w:hint="eastAsia" w:ascii="Times New Roman" w:hAnsi="Times New Roman" w:eastAsia="黑体"/>
          <w:b w:val="0"/>
          <w:sz w:val="24"/>
          <w:lang w:eastAsia="zh-CN"/>
        </w:rPr>
        <w:t>小</w:t>
      </w:r>
      <w:r>
        <w:rPr>
          <w:rFonts w:ascii="Times New Roman" w:hAnsi="Times New Roman" w:eastAsia="黑体"/>
          <w:b w:val="0"/>
          <w:sz w:val="24"/>
        </w:rPr>
        <w:t>四</w:t>
      </w:r>
      <w:r>
        <w:rPr>
          <w:rFonts w:hint="eastAsia" w:ascii="Times New Roman" w:hAnsi="Times New Roman" w:eastAsia="黑体"/>
          <w:b w:val="0"/>
          <w:sz w:val="24"/>
          <w:lang w:val="en-US" w:eastAsia="zh-CN"/>
        </w:rPr>
        <w:t xml:space="preserve"> </w:t>
      </w:r>
      <w:r>
        <w:rPr>
          <w:rFonts w:hint="eastAsia" w:ascii="Times New Roman" w:hAnsi="Times New Roman" w:eastAsia="黑体"/>
          <w:b w:val="0"/>
          <w:sz w:val="24"/>
        </w:rPr>
        <w:t>Times New Roman</w:t>
      </w:r>
      <w:r>
        <w:rPr>
          <w:rFonts w:ascii="Times New Roman" w:hAnsi="Times New Roman" w:eastAsia="黑体"/>
          <w:b w:val="0"/>
          <w:sz w:val="24"/>
        </w:rPr>
        <w:t>，上下各</w:t>
      </w:r>
      <w:r>
        <w:rPr>
          <w:rFonts w:hint="eastAsia" w:ascii="Times New Roman" w:hAnsi="Times New Roman" w:eastAsia="黑体"/>
          <w:b w:val="0"/>
          <w:sz w:val="24"/>
          <w:lang w:val="en-US" w:eastAsia="zh-CN"/>
        </w:rPr>
        <w:t>0</w:t>
      </w:r>
      <w:r>
        <w:rPr>
          <w:rFonts w:ascii="Times New Roman" w:hAnsi="Times New Roman" w:eastAsia="黑体"/>
          <w:b w:val="0"/>
          <w:sz w:val="24"/>
        </w:rPr>
        <w:t>行</w:t>
      </w:r>
      <w:r>
        <w:rPr>
          <w:rFonts w:hint="eastAsia" w:ascii="Times New Roman" w:hAnsi="Times New Roman" w:eastAsia="黑体"/>
          <w:b w:val="0"/>
          <w:sz w:val="24"/>
          <w:lang w:eastAsia="zh-CN"/>
        </w:rPr>
        <w:t>，固定值</w:t>
      </w:r>
      <w:r>
        <w:rPr>
          <w:rFonts w:hint="eastAsia" w:ascii="Times New Roman" w:hAnsi="Times New Roman" w:eastAsia="黑体"/>
          <w:b w:val="0"/>
          <w:sz w:val="24"/>
          <w:lang w:val="en-US" w:eastAsia="zh-CN"/>
        </w:rPr>
        <w:t>28磅</w:t>
      </w:r>
      <w:r>
        <w:rPr>
          <w:rFonts w:ascii="Times New Roman" w:hAnsi="Times New Roman" w:eastAsia="黑体"/>
          <w:b w:val="0"/>
          <w:sz w:val="24"/>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sz w:val="28"/>
        </w:rPr>
      </w:pP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rPr>
      </w:pPr>
      <w:r>
        <w:rPr>
          <w:rFonts w:ascii="Times New Roman" w:hAnsi="Times New Roman"/>
        </w:rPr>
        <w:t>下接正文或二级标题。参考其他文献，包括引用原文或参考、综述、评论他人观点，要在文中加引注标记，采用顺序编码制，符号按出现的先后顺序为</w:t>
      </w:r>
      <w:r>
        <w:rPr>
          <w:rFonts w:ascii="Times New Roman" w:hAnsi="Times New Roman"/>
          <w:vertAlign w:val="superscript"/>
        </w:rPr>
        <w:t>[1][2]</w:t>
      </w:r>
      <w:r>
        <w:rPr>
          <w:rFonts w:ascii="Times New Roman" w:hAnsi="Times New Roman"/>
        </w:rPr>
        <w:t>……，用上角标，与文后所列参考文献序号一致。参考文献只列出已经公开出版且在文中加注的文献，著录格式另附。文中图、表应有自明性，且随文出现，须注明图名、表名，按顺序标明序号如表1、表2……、图1、图2……，图名、表名及内容、参考文献均为小五号字。请在稿件首页地脚处给出作者简介信息。</w:t>
      </w:r>
    </w:p>
    <w:p>
      <w:pPr>
        <w:pStyle w:val="7"/>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2" w:firstLineChars="200"/>
        <w:jc w:val="both"/>
        <w:textAlignment w:val="auto"/>
        <w:outlineLvl w:val="9"/>
        <w:rPr>
          <w:rFonts w:ascii="Times New Roman" w:hAnsi="Times New Roman"/>
          <w:b/>
        </w:rPr>
      </w:pPr>
      <w:r>
        <w:rPr>
          <w:rFonts w:hint="eastAsia" w:ascii="Times New Roman" w:hAnsi="Times New Roman"/>
          <w:b/>
          <w:lang w:val="en-US" w:eastAsia="zh-CN"/>
        </w:rPr>
        <w:t>1</w:t>
      </w:r>
      <w:r>
        <w:rPr>
          <w:rFonts w:ascii="Times New Roman" w:hAnsi="Times New Roman"/>
          <w:b/>
        </w:rPr>
        <w:t>标题序号（空两格，加</w:t>
      </w:r>
      <w:r>
        <w:rPr>
          <w:rFonts w:hint="eastAsia" w:ascii="Times New Roman" w:hAnsi="Times New Roman"/>
          <w:b/>
          <w:lang w:eastAsia="zh-CN"/>
        </w:rPr>
        <w:t>粗</w:t>
      </w:r>
      <w:r>
        <w:rPr>
          <w:rFonts w:ascii="Times New Roman" w:hAnsi="Times New Roman"/>
          <w:b/>
        </w:rPr>
        <w:t>）</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rPr>
      </w:pPr>
      <w:r>
        <w:rPr>
          <w:rFonts w:ascii="Times New Roman" w:hAnsi="Times New Roman"/>
        </w:rPr>
        <w:t>下接正文。论文标题层次采取如下方式：一级标题用“</w:t>
      </w:r>
      <w:r>
        <w:rPr>
          <w:rFonts w:hint="eastAsia" w:ascii="Times New Roman" w:hAnsi="Times New Roman"/>
          <w:lang w:val="en-US" w:eastAsia="zh-CN"/>
        </w:rPr>
        <w:t>1</w:t>
      </w:r>
      <w:r>
        <w:rPr>
          <w:rFonts w:ascii="Times New Roman" w:hAnsi="Times New Roman"/>
        </w:rPr>
        <w:t xml:space="preserve">、 </w:t>
      </w:r>
      <w:r>
        <w:rPr>
          <w:rFonts w:hint="eastAsia" w:ascii="Times New Roman" w:hAnsi="Times New Roman"/>
          <w:lang w:val="en-US" w:eastAsia="zh-CN"/>
        </w:rPr>
        <w:t>2</w:t>
      </w:r>
      <w:r>
        <w:rPr>
          <w:rFonts w:ascii="Times New Roman" w:hAnsi="Times New Roman"/>
        </w:rPr>
        <w:t>、</w:t>
      </w:r>
      <w:r>
        <w:rPr>
          <w:rFonts w:hint="eastAsia" w:ascii="Times New Roman" w:hAnsi="Times New Roman"/>
          <w:lang w:val="en-US" w:eastAsia="zh-CN"/>
        </w:rPr>
        <w:t>3</w:t>
      </w:r>
      <w:r>
        <w:rPr>
          <w:rFonts w:ascii="Times New Roman" w:hAnsi="Times New Roman"/>
        </w:rPr>
        <w:t>……”来标识，二级标题用“</w:t>
      </w:r>
      <w:r>
        <w:rPr>
          <w:rFonts w:hint="eastAsia" w:ascii="Times New Roman" w:hAnsi="Times New Roman"/>
          <w:lang w:val="en-US" w:eastAsia="zh-CN"/>
        </w:rPr>
        <w:t>1.1、1.2</w:t>
      </w:r>
      <w:r>
        <w:rPr>
          <w:rFonts w:ascii="Times New Roman" w:hAnsi="Times New Roman"/>
        </w:rPr>
        <w:t>……”来标识，三级标题用“1</w:t>
      </w:r>
      <w:r>
        <w:rPr>
          <w:rFonts w:hint="eastAsia" w:ascii="Times New Roman" w:hAnsi="Times New Roman"/>
          <w:lang w:val="en-US" w:eastAsia="zh-CN"/>
        </w:rPr>
        <w:t>.1.1、1.1.</w:t>
      </w:r>
      <w:r>
        <w:rPr>
          <w:rFonts w:ascii="Times New Roman" w:hAnsi="Times New Roman"/>
        </w:rPr>
        <w:t xml:space="preserve"> 2</w:t>
      </w:r>
      <w:r>
        <w:rPr>
          <w:rFonts w:hint="eastAsia" w:ascii="Times New Roman" w:hAnsi="Times New Roman"/>
          <w:lang w:eastAsia="zh-CN"/>
        </w:rPr>
        <w:t>、</w:t>
      </w:r>
      <w:r>
        <w:rPr>
          <w:rFonts w:ascii="Times New Roman" w:hAnsi="Times New Roman"/>
        </w:rPr>
        <w:t>…”来标识、四级标题用“</w:t>
      </w:r>
      <w:r>
        <w:rPr>
          <w:rFonts w:hint="eastAsia" w:ascii="Times New Roman" w:hAnsi="Times New Roman"/>
          <w:lang w:val="en-US" w:eastAsia="zh-CN"/>
        </w:rPr>
        <w:t>1.1.1.1、1.1.1.2</w:t>
      </w:r>
      <w:r>
        <w:rPr>
          <w:rFonts w:ascii="Times New Roman" w:hAnsi="Times New Roman"/>
        </w:rPr>
        <w:t xml:space="preserve"> …”来标识，不使用五级标题。标题行和每段正文首行均空二格。各级标题末尾均不加标点。</w:t>
      </w:r>
    </w:p>
    <w:p>
      <w:pPr>
        <w:pStyle w:val="7"/>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361" w:firstLineChars="200"/>
        <w:jc w:val="both"/>
        <w:textAlignment w:val="auto"/>
        <w:outlineLvl w:val="9"/>
        <w:rPr>
          <w:rFonts w:eastAsiaTheme="minorEastAsia"/>
          <w:sz w:val="18"/>
        </w:rPr>
      </w:pPr>
      <w:r>
        <w:rPr>
          <w:rFonts w:hint="eastAsia" w:asciiTheme="minorHAnsi" w:hAnsiTheme="minorHAnsi" w:eastAsiaTheme="minorEastAsia" w:cstheme="minorBidi"/>
          <w:b/>
          <w:kern w:val="2"/>
          <w:sz w:val="18"/>
          <w:szCs w:val="18"/>
          <w:lang w:val="en-US" w:eastAsia="zh-CN" w:bidi="ar-SA"/>
        </w:rPr>
        <w:t xml:space="preserve">作者简介示例 </w:t>
      </w:r>
      <w:r>
        <w:rPr>
          <w:rFonts w:hint="eastAsia" w:eastAsiaTheme="minorEastAsia" w:cstheme="minorBidi"/>
          <w:b/>
          <w:kern w:val="2"/>
          <w:sz w:val="18"/>
          <w:szCs w:val="18"/>
          <w:lang w:val="en-US" w:eastAsia="zh-CN" w:bidi="ar-SA"/>
        </w:rPr>
        <w:t>（此处使用中文）</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right="0" w:rightChars="0"/>
        <w:jc w:val="both"/>
        <w:textAlignment w:val="auto"/>
        <w:outlineLvl w:val="9"/>
        <w:rPr>
          <w:rFonts w:eastAsiaTheme="minorEastAsia"/>
          <w:sz w:val="18"/>
        </w:rPr>
      </w:pPr>
      <w:r>
        <w:rPr>
          <w:rFonts w:eastAsiaTheme="minorEastAsia"/>
          <w:sz w:val="18"/>
        </w:rPr>
        <w:t>周吴郑（1970-），男，辽宁大连人，教授，博士生导师，主要从事化学工程与工艺等研究。</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2．插图和表格</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（1）文中只有一个表（或一个图）均不加表（图）序。</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（2）插图的图序、图名应放在插图的下方，居中排印。图序与图名之间空一个字。“图注”应排在图的下面（图序上面）各条说明可连排，其中间加分号，末尾一条不加标点。</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（3）表格的表名和表序应放在表格的上部，居中排印；表格的左右边框线应去掉；表格中的文字结束时，不加标点。“表注”排在表下，左起空二字，末尾加标点。</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（4）图片需提供可供出版的电子格式。图片分辨率不低于72dbi。</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3．公式</w:t>
      </w:r>
    </w:p>
    <w:p>
      <w:pPr>
        <w:keepNext w:val="0"/>
        <w:keepLines w:val="0"/>
        <w:pageBreakBefore w:val="0"/>
        <w:widowControl w:val="0"/>
        <w:kinsoku/>
        <w:wordWrap/>
        <w:overflowPunct/>
        <w:topLinePunct w:val="0"/>
        <w:autoSpaceDE/>
        <w:autoSpaceDN/>
        <w:bidi w:val="0"/>
        <w:adjustRightInd/>
        <w:snapToGrid/>
        <w:spacing w:line="320" w:lineRule="exact"/>
        <w:ind w:right="0" w:rightChars="0" w:firstLine="420" w:firstLineChars="200"/>
        <w:jc w:val="both"/>
        <w:textAlignment w:val="auto"/>
        <w:outlineLvl w:val="9"/>
      </w:pPr>
      <w:r>
        <w:t>公式应单占一行并居中排印，末尾不必加标点符号；一行如有两个以上式子的，可用标点符号隔开。</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4．数字</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pPr>
      <w:r>
        <w:t>以下情况应当使用阿拉伯数字：在书写公历世纪、年代、年、月和时刻时；在记数与计量时（包括正负数、分数、小数、百分比、约数等）。以下情况应当使用汉字：数字作为词素构成定型的词、词组、惯用语、缩略语或具有修饰色彩的语句时；邻近的2个数字并列连用，表示概数的时候应当使用汉字，连用的2个数字之间不应用顿号隔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宋体"/>
          <w:b/>
          <w:sz w:val="18"/>
        </w:rPr>
      </w:pPr>
      <w:r>
        <w:rPr>
          <w:rFonts w:ascii="Times New Roman" w:hAnsi="Times New Roman" w:eastAsiaTheme="minorEastAsia"/>
          <w:b/>
          <w:sz w:val="18"/>
          <w:szCs w:val="18"/>
        </w:rPr>
        <w:t>REFERENCES</w:t>
      </w:r>
      <w:r>
        <w:rPr>
          <w:rFonts w:hint="eastAsia" w:ascii="Times New Roman" w:hAnsi="Times New Roman" w:eastAsiaTheme="minorEastAsia"/>
          <w:b/>
          <w:sz w:val="18"/>
          <w:szCs w:val="18"/>
          <w:lang w:eastAsia="zh-CN"/>
        </w:rPr>
        <w:t>：</w:t>
      </w:r>
      <w:r>
        <w:rPr>
          <w:rFonts w:ascii="Times New Roman" w:hAnsi="Times New Roman" w:eastAsia="宋体"/>
          <w:b/>
          <w:sz w:val="18"/>
        </w:rPr>
        <w:t>（参考文献</w:t>
      </w:r>
      <w:r>
        <w:rPr>
          <w:rFonts w:hint="eastAsia" w:ascii="Times New Roman" w:hAnsi="Times New Roman" w:eastAsia="宋体"/>
          <w:b/>
          <w:sz w:val="18"/>
          <w:szCs w:val="22"/>
        </w:rPr>
        <w:t>Times New Roman</w:t>
      </w:r>
      <w:r>
        <w:rPr>
          <w:rFonts w:ascii="Times New Roman" w:hAnsi="Times New Roman" w:eastAsia="宋体"/>
          <w:b/>
          <w:sz w:val="18"/>
        </w:rPr>
        <w:t>，小五号</w:t>
      </w:r>
      <w:r>
        <w:rPr>
          <w:rFonts w:hint="eastAsia" w:ascii="Times New Roman" w:hAnsi="Times New Roman" w:eastAsia="宋体"/>
          <w:b/>
          <w:sz w:val="18"/>
          <w:lang w:eastAsia="zh-CN"/>
        </w:rPr>
        <w:t>，</w:t>
      </w:r>
      <w:r>
        <w:rPr>
          <w:rFonts w:ascii="Times New Roman" w:hAnsi="Times New Roman" w:eastAsia="宋体"/>
          <w:b/>
          <w:sz w:val="18"/>
        </w:rPr>
        <w:t>加粗）：</w:t>
      </w:r>
    </w:p>
    <w:p>
      <w:pPr>
        <w:spacing w:line="320" w:lineRule="exact"/>
        <w:ind w:firstLine="540" w:firstLineChars="300"/>
        <w:rPr>
          <w:sz w:val="18"/>
          <w:szCs w:val="18"/>
        </w:rPr>
      </w:pPr>
      <w:r>
        <w:rPr>
          <w:sz w:val="18"/>
          <w:szCs w:val="18"/>
        </w:rPr>
        <w:t>[1] Torvik P J, Bagley R L. On the appearance of the fractional derivative in the behavior of real materials[J]. Journal of Applied Mechanics, 1984, 51(2):725-728.</w:t>
      </w:r>
    </w:p>
    <w:p>
      <w:pPr>
        <w:spacing w:line="320" w:lineRule="exact"/>
        <w:ind w:firstLine="540" w:firstLineChars="300"/>
        <w:rPr>
          <w:sz w:val="18"/>
          <w:szCs w:val="18"/>
        </w:rPr>
      </w:pPr>
      <w:r>
        <w:rPr>
          <w:sz w:val="18"/>
          <w:szCs w:val="18"/>
        </w:rPr>
        <w:t>[2] Oustaloup A, Mathieu B, Lanusse P. The CRONE control of resonant Pplants: application to a flexible rransmission[J]. European Journal of Control, 1995, 1(2):113-121.</w:t>
      </w:r>
    </w:p>
    <w:p>
      <w:pPr>
        <w:spacing w:line="320" w:lineRule="exact"/>
        <w:ind w:firstLine="540" w:firstLineChars="300"/>
        <w:rPr>
          <w:sz w:val="18"/>
          <w:szCs w:val="18"/>
        </w:rPr>
      </w:pPr>
      <w:r>
        <w:rPr>
          <w:sz w:val="18"/>
          <w:szCs w:val="18"/>
        </w:rPr>
        <w:t>[</w:t>
      </w:r>
      <w:r>
        <w:rPr>
          <w:rFonts w:hint="eastAsia"/>
          <w:sz w:val="18"/>
          <w:szCs w:val="18"/>
          <w:lang w:val="en-US" w:eastAsia="zh-CN"/>
        </w:rPr>
        <w:t>3</w:t>
      </w:r>
      <w:r>
        <w:rPr>
          <w:sz w:val="18"/>
          <w:szCs w:val="18"/>
        </w:rPr>
        <w:t>] Podlubny I. Fractional Differential Equations[C]. Mathematics in Science and Engineering, 1998.</w:t>
      </w:r>
      <w:r>
        <w:rPr>
          <w:rFonts w:hint="eastAsia"/>
          <w:sz w:val="18"/>
          <w:szCs w:val="18"/>
          <w:lang w:val="en-US" w:eastAsia="zh-CN"/>
        </w:rPr>
        <w:t>755-758.</w:t>
      </w:r>
    </w:p>
    <w:p>
      <w:pPr>
        <w:spacing w:line="320" w:lineRule="exact"/>
        <w:ind w:firstLine="540" w:firstLineChars="300"/>
        <w:rPr>
          <w:sz w:val="18"/>
          <w:szCs w:val="18"/>
        </w:rPr>
      </w:pPr>
      <w:r>
        <w:rPr>
          <w:sz w:val="18"/>
          <w:szCs w:val="18"/>
        </w:rPr>
        <w:t>[</w:t>
      </w:r>
      <w:r>
        <w:rPr>
          <w:rFonts w:hint="eastAsia"/>
          <w:sz w:val="18"/>
          <w:szCs w:val="18"/>
          <w:lang w:val="en-US" w:eastAsia="zh-CN"/>
        </w:rPr>
        <w:t>4</w:t>
      </w:r>
      <w:r>
        <w:rPr>
          <w:sz w:val="18"/>
          <w:szCs w:val="18"/>
        </w:rPr>
        <w:t>] Ahn H S, Chen Y Q. Necessary and sufficient stability condition of fractional-order interval linear systems[J]. Automatica, 2008, 44(11): 2985-2988.</w:t>
      </w:r>
    </w:p>
    <w:p>
      <w:pPr>
        <w:widowControl/>
        <w:spacing w:line="360" w:lineRule="exact"/>
        <w:ind w:firstLine="360" w:firstLineChars="200"/>
        <w:jc w:val="left"/>
        <w:rPr>
          <w:rFonts w:hint="eastAsia" w:eastAsiaTheme="minorEastAsia"/>
          <w:sz w:val="18"/>
          <w:szCs w:val="18"/>
          <w:lang w:eastAsia="zh-CN"/>
        </w:rPr>
      </w:pPr>
    </w:p>
    <w:p>
      <w:pPr>
        <w:widowControl/>
        <w:spacing w:line="360" w:lineRule="exact"/>
        <w:ind w:firstLine="360" w:firstLineChars="200"/>
        <w:jc w:val="left"/>
        <w:rPr>
          <w:rFonts w:hint="eastAsia" w:eastAsiaTheme="minorEastAsia"/>
          <w:sz w:val="18"/>
          <w:szCs w:val="18"/>
          <w:lang w:eastAsia="zh-CN"/>
        </w:rPr>
      </w:pPr>
      <w:r>
        <w:rPr>
          <w:rFonts w:hint="eastAsia"/>
          <w:sz w:val="18"/>
          <w:szCs w:val="18"/>
          <w:lang w:eastAsia="zh-CN"/>
        </w:rPr>
        <w:t>以下项目信息使用中文：</w:t>
      </w:r>
    </w:p>
    <w:p>
      <w:pPr>
        <w:spacing w:line="560" w:lineRule="exact"/>
        <w:ind w:firstLine="520" w:firstLineChars="200"/>
        <w:rPr>
          <w:rFonts w:hint="eastAsia" w:ascii="仿宋" w:hAnsi="仿宋" w:eastAsia="仿宋"/>
          <w:sz w:val="26"/>
          <w:szCs w:val="26"/>
        </w:rPr>
      </w:pPr>
      <w:r>
        <w:rPr>
          <w:rFonts w:ascii="仿宋" w:hAnsi="仿宋" w:eastAsia="仿宋"/>
          <w:sz w:val="26"/>
          <w:szCs w:val="26"/>
        </w:rPr>
        <w:t>项目编号</w:t>
      </w:r>
      <w:r>
        <w:rPr>
          <w:rFonts w:hint="eastAsia" w:ascii="仿宋" w:hAnsi="仿宋" w:eastAsia="仿宋"/>
          <w:sz w:val="26"/>
          <w:szCs w:val="26"/>
        </w:rPr>
        <w:t>：1</w:t>
      </w:r>
      <w:r>
        <w:rPr>
          <w:rFonts w:hint="eastAsia" w:ascii="仿宋" w:hAnsi="仿宋" w:eastAsia="仿宋"/>
          <w:sz w:val="26"/>
          <w:szCs w:val="26"/>
          <w:lang w:val="en-US" w:eastAsia="zh-CN"/>
        </w:rPr>
        <w:t>7</w:t>
      </w:r>
      <w:r>
        <w:rPr>
          <w:rFonts w:hint="eastAsia" w:ascii="仿宋" w:hAnsi="仿宋" w:eastAsia="仿宋"/>
          <w:sz w:val="26"/>
          <w:szCs w:val="26"/>
        </w:rPr>
        <w:t>0001</w:t>
      </w:r>
      <w:r>
        <w:rPr>
          <w:rFonts w:hint="eastAsia" w:ascii="仿宋" w:hAnsi="仿宋" w:eastAsia="仿宋"/>
          <w:sz w:val="26"/>
          <w:szCs w:val="26"/>
          <w:lang w:eastAsia="zh-CN"/>
        </w:rPr>
        <w:t>（六位）</w:t>
      </w:r>
    </w:p>
    <w:p>
      <w:pPr>
        <w:spacing w:line="560" w:lineRule="exact"/>
        <w:ind w:firstLine="520" w:firstLineChars="200"/>
        <w:rPr>
          <w:rFonts w:ascii="仿宋" w:hAnsi="仿宋" w:eastAsia="仿宋"/>
          <w:sz w:val="26"/>
          <w:szCs w:val="26"/>
        </w:rPr>
      </w:pPr>
      <w:r>
        <w:rPr>
          <w:rFonts w:ascii="仿宋" w:hAnsi="仿宋" w:eastAsia="仿宋"/>
          <w:sz w:val="26"/>
          <w:szCs w:val="26"/>
        </w:rPr>
        <w:t>项目名称</w:t>
      </w:r>
      <w:r>
        <w:rPr>
          <w:rFonts w:hint="eastAsia" w:ascii="仿宋" w:hAnsi="仿宋" w:eastAsia="仿宋"/>
          <w:sz w:val="26"/>
          <w:szCs w:val="26"/>
        </w:rPr>
        <w:t>：报纸新闻客户端运行现状调查</w:t>
      </w:r>
    </w:p>
    <w:p>
      <w:pPr>
        <w:spacing w:line="560" w:lineRule="exact"/>
        <w:ind w:firstLine="520" w:firstLineChars="200"/>
        <w:rPr>
          <w:rFonts w:hint="eastAsia" w:ascii="仿宋" w:hAnsi="仿宋" w:eastAsia="仿宋"/>
          <w:sz w:val="26"/>
          <w:szCs w:val="26"/>
        </w:rPr>
      </w:pPr>
      <w:r>
        <w:rPr>
          <w:rFonts w:ascii="仿宋" w:hAnsi="仿宋" w:eastAsia="仿宋"/>
          <w:sz w:val="26"/>
          <w:szCs w:val="26"/>
        </w:rPr>
        <w:t>项目成员</w:t>
      </w:r>
      <w:r>
        <w:rPr>
          <w:rFonts w:hint="eastAsia" w:ascii="仿宋" w:hAnsi="仿宋" w:eastAsia="仿宋"/>
          <w:sz w:val="26"/>
          <w:szCs w:val="26"/>
        </w:rPr>
        <w:t>：董丹丹、康苗苗、王君然、潘舒怡、王泉（名字之间用顿号隔开）</w:t>
      </w:r>
    </w:p>
    <w:p>
      <w:pPr>
        <w:spacing w:line="560" w:lineRule="exact"/>
        <w:ind w:firstLine="520" w:firstLineChars="200"/>
        <w:rPr>
          <w:rFonts w:ascii="仿宋" w:hAnsi="仿宋" w:eastAsia="仿宋"/>
          <w:sz w:val="26"/>
          <w:szCs w:val="26"/>
        </w:rPr>
      </w:pPr>
      <w:r>
        <w:rPr>
          <w:rFonts w:hint="eastAsia" w:ascii="仿宋" w:hAnsi="仿宋" w:eastAsia="仿宋"/>
          <w:sz w:val="26"/>
          <w:szCs w:val="26"/>
        </w:rPr>
        <w:t>指导教师：生奇志，文法学院副教授/系副主任，主要从事?</w:t>
      </w:r>
      <w:r>
        <w:rPr>
          <w:rFonts w:ascii="仿宋" w:hAnsi="仿宋" w:eastAsia="仿宋"/>
          <w:sz w:val="26"/>
          <w:szCs w:val="26"/>
        </w:rPr>
        <w:t>????????</w:t>
      </w:r>
      <w:r>
        <w:rPr>
          <w:rFonts w:hint="eastAsia" w:ascii="仿宋" w:hAnsi="仿宋" w:eastAsia="仿宋"/>
          <w:sz w:val="26"/>
          <w:szCs w:val="26"/>
        </w:rPr>
        <w:t>研究。</w:t>
      </w:r>
    </w:p>
    <w:p>
      <w:pPr>
        <w:spacing w:line="560" w:lineRule="exact"/>
        <w:ind w:firstLine="520" w:firstLineChars="200"/>
        <w:rPr>
          <w:rFonts w:hint="eastAsia" w:ascii="仿宋" w:hAnsi="仿宋" w:eastAsia="仿宋"/>
          <w:sz w:val="26"/>
          <w:szCs w:val="26"/>
        </w:rPr>
      </w:pPr>
      <w:r>
        <w:rPr>
          <w:rFonts w:hint="eastAsia" w:ascii="仿宋" w:hAnsi="仿宋" w:eastAsia="仿宋"/>
          <w:sz w:val="26"/>
          <w:szCs w:val="26"/>
        </w:rPr>
        <w:t>（项目</w:t>
      </w:r>
      <w:r>
        <w:rPr>
          <w:rFonts w:ascii="仿宋" w:hAnsi="仿宋" w:eastAsia="仿宋"/>
          <w:sz w:val="26"/>
          <w:szCs w:val="26"/>
        </w:rPr>
        <w:t>信息部分，字体</w:t>
      </w:r>
      <w:r>
        <w:rPr>
          <w:rFonts w:hint="eastAsia" w:ascii="仿宋" w:hAnsi="仿宋" w:eastAsia="仿宋"/>
          <w:sz w:val="26"/>
          <w:szCs w:val="26"/>
        </w:rPr>
        <w:t>为</w:t>
      </w:r>
      <w:r>
        <w:rPr>
          <w:rFonts w:ascii="仿宋" w:hAnsi="仿宋" w:eastAsia="仿宋"/>
          <w:sz w:val="26"/>
          <w:szCs w:val="26"/>
        </w:rPr>
        <w:t>仿宋</w:t>
      </w:r>
      <w:r>
        <w:rPr>
          <w:rFonts w:hint="eastAsia" w:ascii="仿宋" w:hAnsi="仿宋" w:eastAsia="仿宋"/>
          <w:sz w:val="26"/>
          <w:szCs w:val="26"/>
        </w:rPr>
        <w:t>13号，行间距28磅）</w:t>
      </w: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b/>
          <w:bCs/>
          <w:sz w:val="28"/>
          <w:szCs w:val="28"/>
          <w:lang w:eastAsia="zh-CN"/>
        </w:rPr>
      </w:pPr>
      <w:r>
        <w:rPr>
          <w:rFonts w:hint="eastAsia" w:ascii="Times New Roman" w:hAnsi="Times New Roman" w:eastAsia="黑体"/>
          <w:b/>
          <w:bCs/>
          <w:sz w:val="28"/>
          <w:szCs w:val="28"/>
          <w:lang w:eastAsia="zh-CN"/>
        </w:rPr>
        <w:t>英文样例：</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ascii="Times New Roman" w:hAnsi="Times New Roman" w:eastAsia="黑体"/>
          <w:b/>
          <w:bCs/>
          <w:sz w:val="28"/>
          <w:szCs w:val="28"/>
        </w:rPr>
      </w:pPr>
      <w:r>
        <w:rPr>
          <w:rFonts w:ascii="Times New Roman" w:hAnsi="Times New Roman" w:eastAsia="黑体"/>
          <w:b/>
          <w:bCs/>
          <w:sz w:val="28"/>
          <w:szCs w:val="28"/>
        </w:rPr>
        <w:t>Robust decentralized control of perturbed fractional-order linear interconnected systems via LMI approach</w:t>
      </w:r>
    </w:p>
    <w:p>
      <w:pPr>
        <w:jc w:val="center"/>
        <w:rPr>
          <w:sz w:val="24"/>
        </w:rPr>
      </w:pPr>
      <w:r>
        <w:rPr>
          <w:rFonts w:hint="eastAsia" w:eastAsia="楷体_GB2312"/>
          <w:sz w:val="28"/>
        </w:rPr>
        <w:t>文法学院</w:t>
      </w:r>
      <w:r>
        <w:rPr>
          <w:rFonts w:eastAsia="楷体_GB2312"/>
          <w:sz w:val="28"/>
        </w:rPr>
        <w:t xml:space="preserve">  </w:t>
      </w:r>
      <w:r>
        <w:rPr>
          <w:rFonts w:hint="eastAsia" w:eastAsia="楷体_GB2312"/>
          <w:sz w:val="28"/>
        </w:rPr>
        <w:t>董丹丹</w:t>
      </w:r>
      <w:r>
        <w:rPr>
          <w:rFonts w:eastAsia="楷体_GB2312"/>
          <w:sz w:val="28"/>
        </w:rPr>
        <w:t xml:space="preserve">  </w:t>
      </w:r>
      <w:r>
        <w:rPr>
          <w:rFonts w:hint="eastAsia" w:eastAsia="楷体_GB2312"/>
          <w:sz w:val="28"/>
        </w:rPr>
        <w:t>生奇志</w:t>
      </w:r>
      <w:r>
        <w:rPr>
          <w:rStyle w:val="5"/>
          <w:color w:val="000000" w:themeColor="text1"/>
          <w:sz w:val="24"/>
          <w14:textFill>
            <w14:solidFill>
              <w14:schemeClr w14:val="tx1"/>
            </w14:solidFill>
          </w14:textFill>
        </w:rPr>
        <w:footnoteReference w:id="1" w:customMarkFollows="1"/>
        <w:t xml:space="preserve"> </w:t>
      </w:r>
      <w:r>
        <w:rPr>
          <w:rFonts w:eastAsia="楷体_GB2312"/>
          <w:sz w:val="24"/>
        </w:rPr>
        <w:t xml:space="preserve">  </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ascii="Times New Roman" w:hAnsi="Times New Roman" w:eastAsia="仿宋"/>
        </w:rPr>
      </w:pPr>
      <w:r>
        <w:rPr>
          <w:rFonts w:hint="eastAsia" w:ascii="Times New Roman" w:hAnsi="Times New Roman" w:eastAsia="仿宋"/>
        </w:rPr>
        <w:t>（已被中国控制与决策录用，录用时间2018年2月9日， 会议论文）</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2" w:firstLineChars="200"/>
        <w:jc w:val="both"/>
        <w:textAlignment w:val="auto"/>
        <w:outlineLvl w:val="9"/>
        <w:rPr>
          <w:rFonts w:hint="eastAsia" w:ascii="Times New Roman" w:hAnsi="Times New Roman" w:eastAsia="宋体"/>
          <w:b w:val="0"/>
          <w:sz w:val="21"/>
          <w:lang w:eastAsia="zh-CN"/>
        </w:rPr>
      </w:pPr>
      <w:r>
        <w:rPr>
          <w:rFonts w:hint="eastAsia" w:ascii="Times New Roman" w:hAnsi="Times New Roman" w:eastAsia="宋体"/>
          <w:b/>
          <w:sz w:val="24"/>
          <w:lang w:val="en-US" w:eastAsia="zh-CN"/>
        </w:rPr>
        <w:t xml:space="preserve">Abstract: </w:t>
      </w:r>
      <w:r>
        <w:rPr>
          <w:rFonts w:hint="eastAsia" w:ascii="Times New Roman" w:hAnsi="Times New Roman" w:eastAsia="宋体"/>
          <w:b w:val="0"/>
          <w:sz w:val="21"/>
          <w:lang w:eastAsia="zh-CN"/>
        </w:rPr>
        <w:t>This paper considers a class of interconnected fractional-order uncertain systems, the necessary condition of robust stabilization is obtained. When there is no uncertainty, a simpler condition is derived. The conditions are expressed in terms of linear matrix inequalities (LMIs) which can be easily calculated with feasible solution problem by MATLAB LMI toolbox. And we can design a state feedback controller which keeps the closed-loop system asymptotically stable. Furthermore, two examples for normal and perturbed system are given to demonstrate the effectiveness of the results respectively. And the state figures are obtained through simulink toolbox to verify the feasibility of the designed feedback controller.</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82" w:firstLineChars="200"/>
        <w:jc w:val="both"/>
        <w:textAlignment w:val="auto"/>
        <w:outlineLvl w:val="9"/>
        <w:rPr>
          <w:rFonts w:hint="eastAsia" w:ascii="Times New Roman" w:hAnsi="Times New Roman" w:eastAsia="宋体"/>
          <w:b w:val="0"/>
          <w:sz w:val="21"/>
          <w:lang w:eastAsia="zh-CN"/>
        </w:rPr>
      </w:pPr>
      <w:r>
        <w:rPr>
          <w:rFonts w:hint="eastAsia" w:ascii="Times New Roman" w:hAnsi="Times New Roman" w:eastAsia="宋体"/>
          <w:b/>
          <w:sz w:val="24"/>
          <w:lang w:val="en-US" w:eastAsia="zh-CN"/>
        </w:rPr>
        <w:t>Key Words:</w:t>
      </w:r>
      <w:r>
        <w:rPr>
          <w:rFonts w:hint="eastAsia" w:ascii="Times New Roman" w:hAnsi="Times New Roman" w:eastAsia="宋体"/>
          <w:b w:val="0"/>
          <w:sz w:val="21"/>
          <w:lang w:eastAsia="zh-CN"/>
        </w:rPr>
        <w:t xml:space="preserve"> Decentralized control; Fractional-order system; Robust stabilization; Linear matrix inequalities</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sz w:val="28"/>
        </w:rPr>
      </w:pPr>
      <w:r>
        <w:rPr>
          <w:rFonts w:ascii="Times New Roman" w:hAnsi="Times New Roman" w:eastAsia="黑体"/>
          <w:sz w:val="28"/>
        </w:rPr>
        <w:t>1. INTRODUCTION</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szCs w:val="21"/>
        </w:rPr>
      </w:pPr>
      <w:r>
        <w:rPr>
          <w:rFonts w:ascii="Times New Roman" w:hAnsi="Times New Roman"/>
          <w:szCs w:val="21"/>
        </w:rPr>
        <w:t>In recent years, the study for fractional-order systems has received extensive attention. The research develops rapidly since more and more people realized that many physical systems exhibit fractional-order behavior due to their special material and chemical properties[1]. Stability is the precondition of the normal work of the system, and it is one of the most important factors to be considered in the design of the sys- tem. Therefore, many researchers make great efforts to the stability of the system. There are many breakthroughs in theoretical study. Oustaloup [2] put forward CRONE control principle; Martignon [3, 4] proposed the result of the stability of the fractional linear time invariant system at the control conference. Podlubny studied the PI</w:t>
      </w:r>
      <w:r>
        <w:rPr>
          <w:rFonts w:ascii="Times New Roman" w:hAnsi="Times New Roman"/>
          <w:szCs w:val="21"/>
          <w:vertAlign w:val="superscript"/>
        </w:rPr>
        <w:t>λ</w:t>
      </w:r>
      <w:r>
        <w:rPr>
          <w:rFonts w:ascii="Times New Roman" w:hAnsi="Times New Roman"/>
          <w:szCs w:val="21"/>
        </w:rPr>
        <w:t>D</w:t>
      </w:r>
      <w:r>
        <w:rPr>
          <w:rFonts w:ascii="Times New Roman" w:hAnsi="Times New Roman"/>
          <w:szCs w:val="21"/>
          <w:vertAlign w:val="superscript"/>
        </w:rPr>
        <w:t>μ</w:t>
      </w:r>
      <w:r>
        <w:rPr>
          <w:rFonts w:ascii="Times New Roman" w:hAnsi="Times New Roman"/>
          <w:szCs w:val="21"/>
        </w:rPr>
        <w:t xml:space="preserve"> controller [5, 6].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黑体"/>
          <w:sz w:val="28"/>
        </w:rPr>
      </w:pPr>
      <w:r>
        <w:rPr>
          <w:rFonts w:ascii="Times New Roman" w:hAnsi="Times New Roman" w:eastAsia="黑体"/>
          <w:sz w:val="28"/>
        </w:rPr>
        <w:t xml:space="preserve">2. PRELIMINARIES </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szCs w:val="21"/>
        </w:rPr>
      </w:pPr>
      <w:r>
        <w:rPr>
          <w:rFonts w:ascii="Times New Roman" w:hAnsi="Times New Roman"/>
          <w:szCs w:val="21"/>
        </w:rPr>
        <w:t xml:space="preserve">There are several definitions for fractional order derivative such as Riemnn-Liouville derivative, Grunward-Letnikov derivative and Caputo derivative. Their definitions </w:t>
      </w:r>
      <w:r>
        <w:rPr>
          <w:rFonts w:hint="eastAsia" w:ascii="Times New Roman" w:hAnsi="Times New Roman"/>
          <w:szCs w:val="21"/>
        </w:rPr>
        <w:t>are</w:t>
      </w:r>
      <w:r>
        <w:rPr>
          <w:rFonts w:ascii="Times New Roman" w:hAnsi="Times New Roman"/>
          <w:szCs w:val="21"/>
        </w:rPr>
        <w:t xml:space="preserve"> presented as follows. The G-L derivative is defined as [6]</w:t>
      </w:r>
      <w:r>
        <w:rPr>
          <w:rFonts w:hint="eastAsia" w:ascii="Times New Roman" w:hAnsi="Times New Roman"/>
          <w:szCs w:val="21"/>
          <w:lang w:val="en-US" w:eastAsia="zh-CN"/>
        </w:rPr>
        <w:t>.</w:t>
      </w:r>
    </w:p>
    <w:p>
      <w:pPr>
        <w:keepNext w:val="0"/>
        <w:keepLines w:val="0"/>
        <w:pageBreakBefore w:val="0"/>
        <w:widowControl w:val="0"/>
        <w:kinsoku/>
        <w:wordWrap/>
        <w:overflowPunct/>
        <w:topLinePunct w:val="0"/>
        <w:autoSpaceDE/>
        <w:autoSpaceDN/>
        <w:bidi w:val="0"/>
        <w:adjustRightInd/>
        <w:snapToGrid/>
        <w:spacing w:line="320" w:lineRule="exact"/>
        <w:ind w:right="0" w:rightChars="0"/>
        <w:jc w:val="both"/>
        <w:textAlignment w:val="auto"/>
        <w:outlineLvl w:val="9"/>
        <w:rPr>
          <w:rFonts w:ascii="Times New Roman" w:hAnsi="Times New Roman" w:eastAsia="黑体"/>
          <w:sz w:val="28"/>
        </w:rPr>
      </w:pPr>
      <w:r>
        <w:rPr>
          <w:rFonts w:hint="eastAsia" w:ascii="Times New Roman" w:hAnsi="Times New Roman" w:eastAsia="黑体"/>
          <w:sz w:val="28"/>
        </w:rPr>
        <w:t xml:space="preserve">3 MAIN </w:t>
      </w:r>
      <w:r>
        <w:rPr>
          <w:rFonts w:ascii="Times New Roman" w:hAnsi="Times New Roman" w:eastAsia="黑体"/>
          <w:sz w:val="28"/>
        </w:rPr>
        <w:t>RESULTS</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szCs w:val="21"/>
        </w:rPr>
      </w:pPr>
      <w:r>
        <w:rPr>
          <w:rFonts w:ascii="Times New Roman" w:hAnsi="Times New Roman"/>
          <w:szCs w:val="21"/>
        </w:rPr>
        <w:t>In this section, we will give two theorems of robust decentralized state feedback stabilization for fractional-order linear interconnected systems and perturbed system.</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sz w:val="28"/>
        </w:rPr>
      </w:pPr>
      <w:r>
        <w:rPr>
          <w:rFonts w:hint="eastAsia" w:ascii="Times New Roman" w:hAnsi="Times New Roman" w:eastAsia="黑体"/>
          <w:sz w:val="28"/>
        </w:rPr>
        <w:t xml:space="preserve">4 NUMERICAL EXAMPLES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b w:val="0"/>
          <w:sz w:val="24"/>
          <w:lang w:eastAsia="zh-CN"/>
        </w:rPr>
      </w:pPr>
      <w:r>
        <w:rPr>
          <w:rFonts w:hint="eastAsia" w:ascii="Times New Roman" w:hAnsi="Times New Roman" w:eastAsia="黑体"/>
          <w:b w:val="0"/>
          <w:sz w:val="24"/>
          <w:lang w:eastAsia="zh-CN"/>
        </w:rPr>
        <w:t>4.1 Example 1</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szCs w:val="21"/>
        </w:rPr>
      </w:pPr>
      <w:r>
        <w:rPr>
          <w:rFonts w:ascii="Times New Roman" w:hAnsi="Times New Roman"/>
          <w:szCs w:val="21"/>
        </w:rPr>
        <w:t>In this section, we will give two theorems of robust decentralized state feedback stabilization for fractional-order linear interconnected systems and perturbed system.</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b w:val="0"/>
          <w:sz w:val="24"/>
          <w:lang w:eastAsia="zh-CN"/>
        </w:rPr>
      </w:pPr>
      <w:r>
        <w:rPr>
          <w:rFonts w:hint="eastAsia" w:ascii="Times New Roman" w:hAnsi="Times New Roman" w:eastAsia="黑体"/>
          <w:b w:val="0"/>
          <w:sz w:val="24"/>
          <w:lang w:eastAsia="zh-CN"/>
        </w:rPr>
        <w:t>4.2 Example 2</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hint="eastAsia" w:ascii="Times New Roman" w:hAnsi="Times New Roman"/>
          <w:szCs w:val="21"/>
        </w:rPr>
      </w:pPr>
      <w:r>
        <w:rPr>
          <w:rFonts w:ascii="Times New Roman" w:hAnsi="Times New Roman"/>
          <w:szCs w:val="21"/>
        </w:rPr>
        <w:t>For system (3), continuing to use the fixed matrices in example 1, and consider the following system Σ2 with uncertain matrices</w:t>
      </w:r>
      <w:r>
        <w:rPr>
          <w:rFonts w:hint="eastAsia" w:ascii="Times New Roman" w:hAnsi="Times New Roman"/>
          <w:szCs w:val="21"/>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Times New Roman" w:hAnsi="Times New Roman" w:eastAsia="黑体"/>
          <w:sz w:val="28"/>
        </w:rPr>
      </w:pPr>
      <w:r>
        <w:rPr>
          <w:rFonts w:hint="eastAsia" w:ascii="Times New Roman" w:hAnsi="Times New Roman" w:eastAsia="黑体"/>
          <w:sz w:val="28"/>
        </w:rPr>
        <w:t>5. CONCLUSION</w:t>
      </w:r>
    </w:p>
    <w:p>
      <w:pPr>
        <w:keepNext w:val="0"/>
        <w:keepLines w:val="0"/>
        <w:pageBreakBefore w:val="0"/>
        <w:widowControl w:val="0"/>
        <w:kinsoku/>
        <w:wordWrap/>
        <w:overflowPunct/>
        <w:topLinePunct w:val="0"/>
        <w:autoSpaceDE/>
        <w:autoSpaceDN/>
        <w:bidi w:val="0"/>
        <w:adjustRightInd/>
        <w:snapToGrid/>
        <w:spacing w:line="320" w:lineRule="exact"/>
        <w:ind w:left="0" w:leftChars="0" w:right="0" w:rightChars="0" w:firstLine="420" w:firstLineChars="200"/>
        <w:jc w:val="both"/>
        <w:textAlignment w:val="auto"/>
        <w:outlineLvl w:val="9"/>
        <w:rPr>
          <w:rFonts w:ascii="Times New Roman" w:hAnsi="Times New Roman" w:eastAsiaTheme="minorEastAsia"/>
          <w:szCs w:val="21"/>
        </w:rPr>
      </w:pPr>
      <w:r>
        <w:rPr>
          <w:rFonts w:ascii="Times New Roman" w:hAnsi="Times New Roman" w:eastAsiaTheme="minorEastAsia"/>
          <w:szCs w:val="21"/>
        </w:rPr>
        <w:t xml:space="preserve">This paper deals with necessary conditions of robust stabilization for perturbed fractional-order interconnected systems in terms of LMIs. And we can find the control feedback controller easily so that it can keep the system asymptotically stable. The solutions and state figures of two examples are obtained to illustrate the usefulness of our result. In the future, the problems of robust stabilization for generalized decentralized control systems can be further considered.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ascii="Times New Roman" w:hAnsi="Times New Roman" w:eastAsiaTheme="minorEastAsia"/>
          <w:b/>
          <w:sz w:val="18"/>
          <w:szCs w:val="18"/>
        </w:rPr>
      </w:pPr>
      <w:r>
        <w:rPr>
          <w:rFonts w:ascii="Times New Roman" w:hAnsi="Times New Roman" w:eastAsiaTheme="minorEastAsia"/>
          <w:b/>
          <w:sz w:val="18"/>
          <w:szCs w:val="18"/>
        </w:rPr>
        <w:t>REFERENCES</w:t>
      </w:r>
      <w:r>
        <w:rPr>
          <w:rFonts w:hint="eastAsia" w:ascii="Times New Roman" w:hAnsi="Times New Roman" w:eastAsiaTheme="minorEastAsia"/>
          <w:b/>
          <w:sz w:val="18"/>
          <w:szCs w:val="18"/>
          <w:lang w:eastAsia="zh-CN"/>
        </w:rPr>
        <w:t>：</w:t>
      </w:r>
    </w:p>
    <w:p>
      <w:pPr>
        <w:spacing w:line="320" w:lineRule="exact"/>
        <w:ind w:firstLine="540" w:firstLineChars="300"/>
        <w:rPr>
          <w:sz w:val="18"/>
          <w:szCs w:val="18"/>
        </w:rPr>
      </w:pPr>
      <w:r>
        <w:rPr>
          <w:sz w:val="18"/>
          <w:szCs w:val="18"/>
        </w:rPr>
        <w:t>[1] Torvik P J, Bagley R L. On the appearance of the fractional derivative in the behavior of real materials[J]. Journal of Applied Mechanics, 1984, 51(2):725-728.</w:t>
      </w:r>
    </w:p>
    <w:p>
      <w:pPr>
        <w:spacing w:line="320" w:lineRule="exact"/>
        <w:ind w:firstLine="540" w:firstLineChars="300"/>
        <w:rPr>
          <w:sz w:val="18"/>
          <w:szCs w:val="18"/>
        </w:rPr>
      </w:pPr>
      <w:r>
        <w:rPr>
          <w:sz w:val="18"/>
          <w:szCs w:val="18"/>
        </w:rPr>
        <w:t>[2] Oustaloup A, Mathieu B, Lanusse P. The CRONE control of resonant Pplants: application to a flexible rransmission[J]. European Journal of Control, 1995, 1(2):113-121.</w:t>
      </w:r>
    </w:p>
    <w:p>
      <w:pPr>
        <w:spacing w:line="320" w:lineRule="exact"/>
        <w:ind w:firstLine="540" w:firstLineChars="300"/>
        <w:rPr>
          <w:sz w:val="18"/>
          <w:szCs w:val="18"/>
        </w:rPr>
      </w:pPr>
      <w:r>
        <w:rPr>
          <w:sz w:val="18"/>
          <w:szCs w:val="18"/>
        </w:rPr>
        <w:t>[</w:t>
      </w:r>
      <w:r>
        <w:rPr>
          <w:rFonts w:hint="eastAsia"/>
          <w:sz w:val="18"/>
          <w:szCs w:val="18"/>
          <w:lang w:val="en-US" w:eastAsia="zh-CN"/>
        </w:rPr>
        <w:t>3</w:t>
      </w:r>
      <w:r>
        <w:rPr>
          <w:sz w:val="18"/>
          <w:szCs w:val="18"/>
        </w:rPr>
        <w:t>] Podlubny I. Fractional Differential Equations[C]. Mathematics in Science and Engineering, 1998.</w:t>
      </w:r>
      <w:r>
        <w:rPr>
          <w:rFonts w:hint="eastAsia"/>
          <w:sz w:val="18"/>
          <w:szCs w:val="18"/>
          <w:lang w:val="en-US" w:eastAsia="zh-CN"/>
        </w:rPr>
        <w:t>755-758.</w:t>
      </w:r>
    </w:p>
    <w:p>
      <w:pPr>
        <w:spacing w:line="320" w:lineRule="exact"/>
        <w:ind w:firstLine="540" w:firstLineChars="300"/>
        <w:rPr>
          <w:sz w:val="18"/>
          <w:szCs w:val="18"/>
        </w:rPr>
      </w:pPr>
      <w:r>
        <w:rPr>
          <w:sz w:val="18"/>
          <w:szCs w:val="18"/>
        </w:rPr>
        <w:t>[</w:t>
      </w:r>
      <w:r>
        <w:rPr>
          <w:rFonts w:hint="eastAsia"/>
          <w:sz w:val="18"/>
          <w:szCs w:val="18"/>
          <w:lang w:val="en-US" w:eastAsia="zh-CN"/>
        </w:rPr>
        <w:t>4</w:t>
      </w:r>
      <w:r>
        <w:rPr>
          <w:sz w:val="18"/>
          <w:szCs w:val="18"/>
        </w:rPr>
        <w:t>] Ahn H S, Chen Y Q. Necessary and sufficient stability condition of fractional-order interval linear systems[J]. Automatica, 2008, 44(11): 2985-2988.</w:t>
      </w:r>
    </w:p>
    <w:p>
      <w:pPr>
        <w:spacing w:line="320" w:lineRule="exact"/>
        <w:ind w:firstLine="540" w:firstLineChars="300"/>
        <w:rPr>
          <w:sz w:val="18"/>
          <w:szCs w:val="18"/>
        </w:rPr>
      </w:pPr>
      <w:r>
        <w:rPr>
          <w:sz w:val="18"/>
          <w:szCs w:val="18"/>
        </w:rPr>
        <w:t>[</w:t>
      </w:r>
      <w:r>
        <w:rPr>
          <w:rFonts w:hint="eastAsia"/>
          <w:sz w:val="18"/>
          <w:szCs w:val="18"/>
          <w:lang w:val="en-US" w:eastAsia="zh-CN"/>
        </w:rPr>
        <w:t>5</w:t>
      </w:r>
      <w:r>
        <w:rPr>
          <w:sz w:val="18"/>
          <w:szCs w:val="18"/>
        </w:rPr>
        <w:t>]Li C P, Zhang F R. A survey on the stability of fractional differential equations[J]. European Physical Journal Special Topics, 2011, 193(1): 27-47.</w:t>
      </w:r>
    </w:p>
    <w:p>
      <w:pPr>
        <w:spacing w:line="320" w:lineRule="exact"/>
        <w:ind w:firstLine="540" w:firstLineChars="300"/>
        <w:rPr>
          <w:sz w:val="18"/>
          <w:szCs w:val="18"/>
        </w:rPr>
      </w:pPr>
      <w:r>
        <w:rPr>
          <w:sz w:val="18"/>
          <w:szCs w:val="18"/>
        </w:rPr>
        <w:t>[</w:t>
      </w:r>
      <w:r>
        <w:rPr>
          <w:rFonts w:hint="eastAsia"/>
          <w:sz w:val="18"/>
          <w:szCs w:val="18"/>
          <w:lang w:val="en-US" w:eastAsia="zh-CN"/>
        </w:rPr>
        <w:t>6</w:t>
      </w:r>
      <w:r>
        <w:rPr>
          <w:sz w:val="18"/>
          <w:szCs w:val="18"/>
        </w:rPr>
        <w:t>] Zhang X F, Chen Y Q. D-stability based LMI criteria of stability and stabilization for fractional order systems[C]. ASME 2015 International Design Engineering Technical Conferences and Computers and Information in Engineering Conference, 2015.</w:t>
      </w:r>
      <w:r>
        <w:rPr>
          <w:rFonts w:hint="eastAsia"/>
          <w:sz w:val="18"/>
          <w:szCs w:val="18"/>
          <w:lang w:val="en-US" w:eastAsia="zh-CN"/>
        </w:rPr>
        <w:t>722-725.</w:t>
      </w:r>
    </w:p>
    <w:p>
      <w:pPr>
        <w:keepNext w:val="0"/>
        <w:keepLines w:val="0"/>
        <w:pageBreakBefore w:val="0"/>
        <w:widowControl w:val="0"/>
        <w:kinsoku/>
        <w:wordWrap/>
        <w:overflowPunct/>
        <w:topLinePunct w:val="0"/>
        <w:autoSpaceDE/>
        <w:autoSpaceDN/>
        <w:bidi w:val="0"/>
        <w:adjustRightInd/>
        <w:snapToGrid/>
        <w:spacing w:before="157" w:beforeLines="50" w:line="560" w:lineRule="exact"/>
        <w:ind w:left="0" w:leftChars="0" w:right="0" w:rightChars="0" w:firstLine="520" w:firstLineChars="200"/>
        <w:jc w:val="both"/>
        <w:textAlignment w:val="auto"/>
        <w:outlineLvl w:val="9"/>
        <w:rPr>
          <w:rFonts w:ascii="仿宋" w:hAnsi="仿宋" w:eastAsia="仿宋"/>
          <w:sz w:val="26"/>
          <w:szCs w:val="26"/>
        </w:rPr>
      </w:pPr>
      <w:r>
        <w:rPr>
          <w:rFonts w:ascii="仿宋" w:hAnsi="仿宋" w:eastAsia="仿宋"/>
          <w:sz w:val="26"/>
          <w:szCs w:val="26"/>
        </w:rPr>
        <w:t>项目编号</w:t>
      </w:r>
      <w:r>
        <w:rPr>
          <w:rFonts w:hint="eastAsia" w:ascii="仿宋" w:hAnsi="仿宋" w:eastAsia="仿宋"/>
          <w:sz w:val="26"/>
          <w:szCs w:val="26"/>
        </w:rPr>
        <w:t>：160001</w:t>
      </w:r>
    </w:p>
    <w:p>
      <w:pPr>
        <w:spacing w:line="560" w:lineRule="exact"/>
        <w:ind w:firstLine="520" w:firstLineChars="200"/>
        <w:rPr>
          <w:rFonts w:ascii="仿宋" w:hAnsi="仿宋" w:eastAsia="仿宋"/>
          <w:sz w:val="26"/>
          <w:szCs w:val="26"/>
        </w:rPr>
      </w:pPr>
      <w:r>
        <w:rPr>
          <w:rFonts w:ascii="仿宋" w:hAnsi="仿宋" w:eastAsia="仿宋"/>
          <w:sz w:val="26"/>
          <w:szCs w:val="26"/>
        </w:rPr>
        <w:t>项目名称</w:t>
      </w:r>
      <w:r>
        <w:rPr>
          <w:rFonts w:hint="eastAsia" w:ascii="仿宋" w:hAnsi="仿宋" w:eastAsia="仿宋"/>
          <w:sz w:val="26"/>
          <w:szCs w:val="26"/>
        </w:rPr>
        <w:t>：报纸新闻客户端运行现状调查</w:t>
      </w:r>
    </w:p>
    <w:p>
      <w:pPr>
        <w:spacing w:line="560" w:lineRule="exact"/>
        <w:ind w:firstLine="520" w:firstLineChars="200"/>
        <w:rPr>
          <w:rFonts w:ascii="仿宋" w:hAnsi="仿宋" w:eastAsia="仿宋"/>
          <w:sz w:val="26"/>
          <w:szCs w:val="26"/>
        </w:rPr>
      </w:pPr>
      <w:r>
        <w:rPr>
          <w:rFonts w:ascii="仿宋" w:hAnsi="仿宋" w:eastAsia="仿宋"/>
          <w:sz w:val="26"/>
          <w:szCs w:val="26"/>
        </w:rPr>
        <w:t>项目成员</w:t>
      </w:r>
      <w:r>
        <w:rPr>
          <w:rFonts w:hint="eastAsia" w:ascii="仿宋" w:hAnsi="仿宋" w:eastAsia="仿宋"/>
          <w:sz w:val="26"/>
          <w:szCs w:val="26"/>
        </w:rPr>
        <w:t>：董丹丹、康苗苗、王君然、潘舒怡、王泉</w:t>
      </w:r>
    </w:p>
    <w:p>
      <w:pPr>
        <w:spacing w:line="560" w:lineRule="exact"/>
        <w:ind w:firstLine="520" w:firstLineChars="200"/>
        <w:rPr>
          <w:rFonts w:hint="eastAsia" w:ascii="仿宋" w:hAnsi="仿宋" w:eastAsia="仿宋"/>
          <w:sz w:val="26"/>
          <w:szCs w:val="26"/>
        </w:rPr>
      </w:pPr>
      <w:r>
        <w:rPr>
          <w:rFonts w:hint="eastAsia" w:ascii="仿宋" w:hAnsi="仿宋" w:eastAsia="仿宋"/>
          <w:sz w:val="26"/>
          <w:szCs w:val="26"/>
        </w:rPr>
        <w:t>指导教师：生奇志，文法学院副教授/系副主任，主要从事新闻学和媒介管理学理论方面的教学与研究。</w:t>
      </w: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spacing w:line="560" w:lineRule="exact"/>
        <w:ind w:firstLine="520" w:firstLineChars="200"/>
        <w:rPr>
          <w:rFonts w:hint="eastAsia" w:ascii="仿宋" w:hAnsi="仿宋" w:eastAsia="仿宋"/>
          <w:sz w:val="26"/>
          <w:szCs w:val="26"/>
        </w:rPr>
      </w:pPr>
    </w:p>
    <w:p>
      <w:pPr>
        <w:spacing w:line="560" w:lineRule="exact"/>
        <w:rPr>
          <w:rFonts w:hint="eastAsia" w:ascii="仿宋" w:hAnsi="仿宋" w:eastAsia="仿宋"/>
          <w:sz w:val="26"/>
          <w:szCs w:val="26"/>
        </w:rPr>
      </w:pPr>
    </w:p>
    <w:p/>
    <w:sectPr>
      <w:headerReference r:id="rId4" w:type="default"/>
      <w:pgSz w:w="11906" w:h="16838"/>
      <w:pgMar w:top="1134" w:right="1418" w:bottom="1134"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3"/>
        <w:rPr>
          <w:rFonts w:hint="eastAsia"/>
        </w:rPr>
      </w:pPr>
      <w:r>
        <w:rPr>
          <w:rStyle w:val="5"/>
        </w:rPr>
        <w:sym w:font="Symbol" w:char="0020"/>
      </w:r>
      <w:r>
        <w:rPr>
          <w:rFonts w:hint="eastAsia" w:eastAsiaTheme="minorEastAsia"/>
          <w:b/>
        </w:rPr>
        <w:t>作者简介（小五号宋体，加</w:t>
      </w:r>
      <w:r>
        <w:rPr>
          <w:rFonts w:hint="eastAsia" w:eastAsiaTheme="minorEastAsia"/>
          <w:b/>
          <w:lang w:eastAsia="zh-CN"/>
        </w:rPr>
        <w:t>粗</w:t>
      </w:r>
      <w:r>
        <w:rPr>
          <w:rFonts w:hint="eastAsia" w:eastAsiaTheme="minorEastAsia"/>
          <w:b/>
        </w:rPr>
        <w:t>）：</w:t>
      </w:r>
      <w:r>
        <w:rPr>
          <w:rFonts w:hint="eastAsia" w:eastAsiaTheme="minorEastAsia"/>
          <w:szCs w:val="20"/>
        </w:rPr>
        <w:t>姓名（出生年</w:t>
      </w:r>
      <w:r>
        <w:rPr>
          <w:rFonts w:eastAsiaTheme="minorEastAsia"/>
          <w:szCs w:val="20"/>
        </w:rPr>
        <w:t>-</w:t>
      </w:r>
      <w:r>
        <w:rPr>
          <w:rFonts w:hint="eastAsia" w:eastAsiaTheme="minorEastAsia"/>
          <w:szCs w:val="20"/>
        </w:rPr>
        <w:t>）、性别，籍贯，专业，年级，研究方向</w:t>
      </w:r>
      <w:r>
        <w:rPr>
          <w:rFonts w:hint="eastAsia"/>
          <w:szCs w:val="20"/>
        </w:rPr>
        <w:t>（</w:t>
      </w:r>
      <w:r>
        <w:rPr>
          <w:rFonts w:hint="eastAsia" w:ascii="宋体" w:hAnsi="宋体"/>
        </w:rPr>
        <w:t>小五号宋体）</w:t>
      </w:r>
      <w:r>
        <w:rPr>
          <w:rFonts w:hint="eastAsia"/>
          <w:szCs w:val="20"/>
        </w:rPr>
        <w:t>。</w:t>
      </w:r>
      <w:r>
        <w:rPr>
          <w:rFonts w:hint="eastAsia"/>
          <w:szCs w:val="20"/>
          <w:lang w:eastAsia="zh-CN"/>
        </w:rPr>
        <w:t>注意作者简介全部用中文。</w:t>
      </w:r>
    </w:p>
  </w:footnote>
  <w:footnote w:id="1">
    <w:p>
      <w:pPr>
        <w:pStyle w:val="3"/>
      </w:pPr>
      <w:r>
        <w:rPr>
          <w:rStyle w:val="5"/>
        </w:rPr>
        <w:t xml:space="preserve"> </w:t>
      </w:r>
      <w:r>
        <w:t xml:space="preserve"> </w:t>
      </w:r>
      <w:r>
        <w:rPr>
          <w:rFonts w:hint="eastAsia"/>
          <w:b/>
        </w:rPr>
        <w:t>作者简介</w:t>
      </w:r>
      <w:r>
        <w:rPr>
          <w:rFonts w:hint="eastAsia"/>
        </w:rPr>
        <w:t>：</w:t>
      </w:r>
      <w:r>
        <w:rPr>
          <w:rFonts w:hint="eastAsia"/>
          <w:szCs w:val="20"/>
        </w:rPr>
        <w:t>董丹丹（1994- ），女，东北大学文法学院本科在读；生奇志（1968- ），女，东北大学文法学院副教授/新闻学系副主任。</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B07D1A"/>
    <w:multiLevelType w:val="singleLevel"/>
    <w:tmpl w:val="5AB07D1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682564"/>
    <w:rsid w:val="1E5568A6"/>
    <w:rsid w:val="27B82A26"/>
    <w:rsid w:val="323F5A71"/>
    <w:rsid w:val="400B7FF7"/>
    <w:rsid w:val="457D02EA"/>
    <w:rsid w:val="4F9C790D"/>
    <w:rsid w:val="55430498"/>
    <w:rsid w:val="5692573F"/>
    <w:rsid w:val="572D22A5"/>
    <w:rsid w:val="654305E1"/>
    <w:rsid w:val="67C04166"/>
    <w:rsid w:val="7CB964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footnote text"/>
    <w:basedOn w:val="1"/>
    <w:qFormat/>
    <w:uiPriority w:val="0"/>
    <w:pPr>
      <w:snapToGrid w:val="0"/>
      <w:jc w:val="left"/>
    </w:pPr>
    <w:rPr>
      <w:sz w:val="18"/>
      <w:szCs w:val="18"/>
    </w:rPr>
  </w:style>
  <w:style w:type="character" w:styleId="5">
    <w:name w:val="footnote reference"/>
    <w:qFormat/>
    <w:uiPriority w:val="0"/>
    <w:rPr>
      <w:vertAlign w:val="superscript"/>
    </w:rPr>
  </w:style>
  <w:style w:type="paragraph" w:customStyle="1" w:styleId="7">
    <w:name w:val="正文格式"/>
    <w:basedOn w:val="1"/>
    <w:qFormat/>
    <w:uiPriority w:val="0"/>
    <w:pPr>
      <w:spacing w:line="360" w:lineRule="auto"/>
      <w:ind w:firstLine="480" w:firstLineChars="200"/>
    </w:pPr>
    <w:rPr>
      <w:rFonts w:eastAsia="仿宋_GB2312"/>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创新</dc:creator>
  <cp:lastModifiedBy>朱翠兰</cp:lastModifiedBy>
  <dcterms:modified xsi:type="dcterms:W3CDTF">2018-03-20T03:31:29Z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